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A04" w:rsidRDefault="000E0A04">
      <w:pPr>
        <w:pStyle w:val="FlushLeft"/>
        <w:spacing w:before="0" w:after="240"/>
        <w:jc w:val="center"/>
        <w:rPr>
          <w:b/>
        </w:rPr>
      </w:pPr>
      <w:r w:rsidRPr="00453DF2">
        <w:rPr>
          <w:b/>
        </w:rPr>
        <w:t xml:space="preserve">ORDINANCE NUMBER </w:t>
      </w:r>
      <w:r w:rsidR="00145F93">
        <w:rPr>
          <w:b/>
        </w:rPr>
        <w:t>1</w:t>
      </w:r>
      <w:r w:rsidR="00DB399B">
        <w:rPr>
          <w:b/>
        </w:rPr>
        <w:t>5</w:t>
      </w:r>
      <w:r w:rsidR="00145F93">
        <w:rPr>
          <w:b/>
        </w:rPr>
        <w:t>-</w:t>
      </w:r>
    </w:p>
    <w:p w:rsidR="005A181C" w:rsidRDefault="000E0A04" w:rsidP="00FA6188">
      <w:pPr>
        <w:pStyle w:val="Heading5"/>
        <w:spacing w:before="0"/>
        <w:ind w:left="720" w:right="720" w:firstLine="0"/>
        <w:jc w:val="center"/>
        <w:rPr>
          <w:b/>
          <w:color w:val="auto"/>
        </w:rPr>
      </w:pPr>
      <w:r w:rsidRPr="000F1412">
        <w:rPr>
          <w:b/>
          <w:color w:val="auto"/>
        </w:rPr>
        <w:t xml:space="preserve">AN ORDINANCE OF THE </w:t>
      </w:r>
      <w:r w:rsidR="00051F35" w:rsidRPr="000F1412">
        <w:rPr>
          <w:b/>
          <w:color w:val="auto"/>
        </w:rPr>
        <w:t>TOWN</w:t>
      </w:r>
      <w:r w:rsidRPr="000F1412">
        <w:rPr>
          <w:b/>
          <w:color w:val="auto"/>
        </w:rPr>
        <w:t xml:space="preserve"> COUNCIL OF THE </w:t>
      </w:r>
      <w:r w:rsidR="00051F35" w:rsidRPr="000F1412">
        <w:rPr>
          <w:b/>
          <w:color w:val="auto"/>
        </w:rPr>
        <w:t>TOWN OF MAMMOTH LAKES</w:t>
      </w:r>
      <w:r w:rsidRPr="000F1412">
        <w:rPr>
          <w:b/>
          <w:color w:val="auto"/>
        </w:rPr>
        <w:t xml:space="preserve">, COUNTY OF </w:t>
      </w:r>
      <w:r w:rsidR="00051F35" w:rsidRPr="000F1412">
        <w:rPr>
          <w:b/>
          <w:color w:val="auto"/>
        </w:rPr>
        <w:t>MONO</w:t>
      </w:r>
      <w:r w:rsidRPr="000F1412">
        <w:rPr>
          <w:b/>
          <w:color w:val="auto"/>
        </w:rPr>
        <w:t xml:space="preserve">, STATE OF CALIFORNIA, </w:t>
      </w:r>
    </w:p>
    <w:p w:rsidR="005A181C" w:rsidRDefault="005A181C" w:rsidP="00CD73A6">
      <w:pPr>
        <w:pStyle w:val="Heading5"/>
        <w:numPr>
          <w:ilvl w:val="0"/>
          <w:numId w:val="15"/>
        </w:numPr>
        <w:ind w:right="720"/>
        <w:jc w:val="left"/>
        <w:rPr>
          <w:rFonts w:ascii="Times New Roman Bold" w:hAnsi="Times New Roman Bold"/>
          <w:b/>
          <w:caps/>
          <w:color w:val="auto"/>
          <w:szCs w:val="24"/>
        </w:rPr>
      </w:pPr>
      <w:r w:rsidRPr="005A181C">
        <w:rPr>
          <w:b/>
          <w:color w:val="auto"/>
        </w:rPr>
        <w:t xml:space="preserve">RESCINDING </w:t>
      </w:r>
      <w:r>
        <w:rPr>
          <w:b/>
          <w:color w:val="auto"/>
        </w:rPr>
        <w:t xml:space="preserve">THE </w:t>
      </w:r>
      <w:r w:rsidRPr="005A181C">
        <w:rPr>
          <w:rFonts w:ascii="Times New Roman Bold" w:hAnsi="Times New Roman Bold"/>
          <w:b/>
          <w:caps/>
          <w:color w:val="auto"/>
          <w:szCs w:val="24"/>
        </w:rPr>
        <w:t>Interim Affordable Housing Mitigation Policy</w:t>
      </w:r>
      <w:r>
        <w:rPr>
          <w:rFonts w:ascii="Times New Roman Bold" w:hAnsi="Times New Roman Bold"/>
          <w:b/>
          <w:caps/>
          <w:color w:val="auto"/>
          <w:szCs w:val="24"/>
        </w:rPr>
        <w:t xml:space="preserve"> (RESOLUTIONS 09-76 AND 14-54);</w:t>
      </w:r>
    </w:p>
    <w:p w:rsidR="005A181C" w:rsidRDefault="005A181C" w:rsidP="00CD73A6">
      <w:pPr>
        <w:pStyle w:val="Heading5"/>
        <w:numPr>
          <w:ilvl w:val="0"/>
          <w:numId w:val="15"/>
        </w:numPr>
        <w:ind w:right="720"/>
        <w:jc w:val="left"/>
        <w:rPr>
          <w:b/>
          <w:color w:val="auto"/>
        </w:rPr>
      </w:pPr>
      <w:r>
        <w:rPr>
          <w:b/>
          <w:color w:val="auto"/>
        </w:rPr>
        <w:t>APPROVING ZONING CODE AMENDMENT 15-001;</w:t>
      </w:r>
    </w:p>
    <w:p w:rsidR="005A181C" w:rsidRDefault="001970EE" w:rsidP="00CD73A6">
      <w:pPr>
        <w:pStyle w:val="Heading5"/>
        <w:numPr>
          <w:ilvl w:val="0"/>
          <w:numId w:val="15"/>
        </w:numPr>
        <w:ind w:right="720"/>
        <w:jc w:val="left"/>
        <w:rPr>
          <w:b/>
          <w:color w:val="auto"/>
        </w:rPr>
      </w:pPr>
      <w:r>
        <w:rPr>
          <w:b/>
          <w:color w:val="auto"/>
        </w:rPr>
        <w:t>REPEALING AND RESTATING</w:t>
      </w:r>
      <w:r w:rsidRPr="000F1412">
        <w:rPr>
          <w:b/>
          <w:color w:val="auto"/>
        </w:rPr>
        <w:t xml:space="preserve"> </w:t>
      </w:r>
      <w:r w:rsidR="000D4D23">
        <w:rPr>
          <w:b/>
          <w:color w:val="auto"/>
        </w:rPr>
        <w:t>CHAPTER</w:t>
      </w:r>
      <w:r w:rsidR="006373CC">
        <w:rPr>
          <w:b/>
          <w:color w:val="auto"/>
        </w:rPr>
        <w:t xml:space="preserve"> </w:t>
      </w:r>
      <w:r>
        <w:rPr>
          <w:b/>
          <w:color w:val="auto"/>
        </w:rPr>
        <w:t xml:space="preserve">17.136 </w:t>
      </w:r>
      <w:r w:rsidR="000F1412" w:rsidRPr="000F1412">
        <w:rPr>
          <w:b/>
          <w:color w:val="auto"/>
        </w:rPr>
        <w:t>OF THE TOWN OF MAMMOTH LAKES MUNICIPAL CODE</w:t>
      </w:r>
      <w:r w:rsidR="006373CC">
        <w:rPr>
          <w:b/>
          <w:color w:val="auto"/>
        </w:rPr>
        <w:t xml:space="preserve"> RELATED TO </w:t>
      </w:r>
      <w:r>
        <w:rPr>
          <w:b/>
          <w:color w:val="auto"/>
        </w:rPr>
        <w:t>HOUSING</w:t>
      </w:r>
      <w:r w:rsidR="000C2686">
        <w:rPr>
          <w:b/>
          <w:color w:val="auto"/>
        </w:rPr>
        <w:t>;</w:t>
      </w:r>
      <w:r w:rsidRPr="001970EE">
        <w:rPr>
          <w:b/>
          <w:color w:val="auto"/>
        </w:rPr>
        <w:t xml:space="preserve"> </w:t>
      </w:r>
      <w:r>
        <w:rPr>
          <w:b/>
          <w:color w:val="auto"/>
        </w:rPr>
        <w:t xml:space="preserve">AND </w:t>
      </w:r>
    </w:p>
    <w:p w:rsidR="000F1412" w:rsidRDefault="001970EE" w:rsidP="00CD73A6">
      <w:pPr>
        <w:pStyle w:val="Heading5"/>
        <w:numPr>
          <w:ilvl w:val="0"/>
          <w:numId w:val="15"/>
        </w:numPr>
        <w:ind w:right="720"/>
        <w:jc w:val="left"/>
        <w:rPr>
          <w:b/>
          <w:color w:val="auto"/>
        </w:rPr>
      </w:pPr>
      <w:r>
        <w:rPr>
          <w:b/>
          <w:color w:val="auto"/>
        </w:rPr>
        <w:t>AMENDING CHAPTER 17.148</w:t>
      </w:r>
      <w:r w:rsidRPr="001970EE">
        <w:rPr>
          <w:b/>
          <w:color w:val="auto"/>
        </w:rPr>
        <w:t xml:space="preserve"> </w:t>
      </w:r>
      <w:r w:rsidRPr="000F1412">
        <w:rPr>
          <w:b/>
          <w:color w:val="auto"/>
        </w:rPr>
        <w:t>OF THE TOWN OF MAMMOTH LAKES MUNICIPAL CODE</w:t>
      </w:r>
      <w:r>
        <w:rPr>
          <w:b/>
          <w:color w:val="auto"/>
        </w:rPr>
        <w:t xml:space="preserve"> RELATED TO DEFINITIONS</w:t>
      </w:r>
      <w:r w:rsidR="000C2686">
        <w:rPr>
          <w:b/>
          <w:color w:val="auto"/>
        </w:rPr>
        <w:t>.</w:t>
      </w:r>
      <w:r>
        <w:rPr>
          <w:b/>
          <w:color w:val="auto"/>
        </w:rPr>
        <w:t xml:space="preserve"> </w:t>
      </w:r>
    </w:p>
    <w:p w:rsidR="005A181C" w:rsidRDefault="005A181C" w:rsidP="00BE6AF4">
      <w:pPr>
        <w:autoSpaceDE w:val="0"/>
        <w:autoSpaceDN w:val="0"/>
        <w:adjustRightInd w:val="0"/>
        <w:ind w:firstLine="720"/>
        <w:rPr>
          <w:b/>
          <w:szCs w:val="24"/>
        </w:rPr>
      </w:pPr>
    </w:p>
    <w:p w:rsidR="00BE6AF4" w:rsidRDefault="00BE6AF4" w:rsidP="00BE6AF4">
      <w:pPr>
        <w:autoSpaceDE w:val="0"/>
        <w:autoSpaceDN w:val="0"/>
        <w:adjustRightInd w:val="0"/>
        <w:ind w:firstLine="720"/>
        <w:rPr>
          <w:szCs w:val="24"/>
        </w:rPr>
      </w:pPr>
      <w:r w:rsidRPr="00BE6AF4">
        <w:rPr>
          <w:b/>
          <w:szCs w:val="24"/>
        </w:rPr>
        <w:t>WHEREAS</w:t>
      </w:r>
      <w:r>
        <w:rPr>
          <w:szCs w:val="24"/>
        </w:rPr>
        <w:t>, on October 4, 2000, the Town Council approved Ordinance 00-10, adopting Affordable Housing Mitigation Regulations, Municipal Code Chapter 17.36; and</w:t>
      </w:r>
    </w:p>
    <w:p w:rsidR="00BE6AF4" w:rsidRDefault="00BE6AF4" w:rsidP="00BE6AF4">
      <w:pPr>
        <w:autoSpaceDE w:val="0"/>
        <w:autoSpaceDN w:val="0"/>
        <w:adjustRightInd w:val="0"/>
        <w:rPr>
          <w:szCs w:val="24"/>
        </w:rPr>
      </w:pPr>
    </w:p>
    <w:p w:rsidR="00BE6AF4" w:rsidRDefault="00BE6AF4" w:rsidP="00BE6AF4">
      <w:pPr>
        <w:autoSpaceDE w:val="0"/>
        <w:autoSpaceDN w:val="0"/>
        <w:adjustRightInd w:val="0"/>
        <w:ind w:firstLine="720"/>
        <w:rPr>
          <w:szCs w:val="24"/>
        </w:rPr>
      </w:pPr>
      <w:r w:rsidRPr="00BE6AF4">
        <w:rPr>
          <w:b/>
          <w:szCs w:val="24"/>
        </w:rPr>
        <w:t>WHEREAS</w:t>
      </w:r>
      <w:r w:rsidRPr="00124486">
        <w:rPr>
          <w:szCs w:val="24"/>
        </w:rPr>
        <w:t xml:space="preserve">, </w:t>
      </w:r>
      <w:r w:rsidRPr="00C7492F">
        <w:rPr>
          <w:szCs w:val="24"/>
        </w:rPr>
        <w:t>on July 21, 2004</w:t>
      </w:r>
      <w:r>
        <w:rPr>
          <w:szCs w:val="24"/>
        </w:rPr>
        <w:t>,</w:t>
      </w:r>
      <w:r w:rsidRPr="00C7492F">
        <w:rPr>
          <w:szCs w:val="24"/>
        </w:rPr>
        <w:t xml:space="preserve"> the Town Council approved Ordinance 2004-13, </w:t>
      </w:r>
      <w:r>
        <w:rPr>
          <w:szCs w:val="24"/>
        </w:rPr>
        <w:t>repealing and restating</w:t>
      </w:r>
      <w:r w:rsidRPr="00C7492F">
        <w:rPr>
          <w:szCs w:val="24"/>
        </w:rPr>
        <w:t xml:space="preserve"> Affordable </w:t>
      </w:r>
      <w:r>
        <w:rPr>
          <w:szCs w:val="24"/>
        </w:rPr>
        <w:t xml:space="preserve">Housing Mitigation regulations, Municipal Code Chapter 17.36; </w:t>
      </w:r>
      <w:r w:rsidRPr="00124486">
        <w:rPr>
          <w:szCs w:val="24"/>
        </w:rPr>
        <w:t xml:space="preserve">and </w:t>
      </w:r>
    </w:p>
    <w:p w:rsidR="00BE6AF4" w:rsidRPr="00975A0A" w:rsidRDefault="00BE6AF4" w:rsidP="00BE6AF4">
      <w:pPr>
        <w:autoSpaceDE w:val="0"/>
        <w:autoSpaceDN w:val="0"/>
        <w:adjustRightInd w:val="0"/>
        <w:rPr>
          <w:szCs w:val="24"/>
        </w:rPr>
      </w:pPr>
    </w:p>
    <w:p w:rsidR="00BE6AF4" w:rsidRDefault="00BE6AF4" w:rsidP="00BE6AF4">
      <w:pPr>
        <w:autoSpaceDE w:val="0"/>
        <w:autoSpaceDN w:val="0"/>
        <w:adjustRightInd w:val="0"/>
        <w:ind w:firstLine="720"/>
        <w:rPr>
          <w:szCs w:val="24"/>
        </w:rPr>
      </w:pPr>
      <w:r w:rsidRPr="00BE6AF4">
        <w:rPr>
          <w:b/>
          <w:szCs w:val="24"/>
        </w:rPr>
        <w:t>WHEREAS</w:t>
      </w:r>
      <w:r w:rsidRPr="00975A0A">
        <w:rPr>
          <w:szCs w:val="24"/>
        </w:rPr>
        <w:t>, on August 16, 2006</w:t>
      </w:r>
      <w:r>
        <w:rPr>
          <w:szCs w:val="24"/>
        </w:rPr>
        <w:t>,</w:t>
      </w:r>
      <w:r w:rsidRPr="00975A0A">
        <w:rPr>
          <w:szCs w:val="24"/>
        </w:rPr>
        <w:t xml:space="preserve"> the Town Council adopted Ordinance 06-09 amending </w:t>
      </w:r>
      <w:r w:rsidRPr="00C7492F">
        <w:rPr>
          <w:szCs w:val="24"/>
        </w:rPr>
        <w:t xml:space="preserve">Affordable </w:t>
      </w:r>
      <w:r>
        <w:rPr>
          <w:szCs w:val="24"/>
        </w:rPr>
        <w:t>Housing Mitigation regulations, Municipal Code Chapter 17.36</w:t>
      </w:r>
      <w:r w:rsidRPr="00975A0A">
        <w:rPr>
          <w:szCs w:val="24"/>
        </w:rPr>
        <w:t>; and</w:t>
      </w:r>
    </w:p>
    <w:p w:rsidR="00BE6AF4" w:rsidRPr="00975A0A" w:rsidRDefault="00BE6AF4" w:rsidP="00BE6AF4">
      <w:pPr>
        <w:autoSpaceDE w:val="0"/>
        <w:autoSpaceDN w:val="0"/>
        <w:adjustRightInd w:val="0"/>
        <w:ind w:firstLine="720"/>
        <w:rPr>
          <w:szCs w:val="24"/>
        </w:rPr>
      </w:pPr>
    </w:p>
    <w:p w:rsidR="008C0B9A" w:rsidRDefault="00BE6AF4" w:rsidP="00BE6AF4">
      <w:pPr>
        <w:ind w:right="-187"/>
        <w:rPr>
          <w:szCs w:val="24"/>
        </w:rPr>
      </w:pPr>
      <w:r w:rsidRPr="00124486">
        <w:rPr>
          <w:szCs w:val="24"/>
        </w:rPr>
        <w:tab/>
      </w:r>
      <w:r w:rsidR="008C0B9A" w:rsidRPr="008C0B9A">
        <w:rPr>
          <w:b/>
          <w:szCs w:val="24"/>
        </w:rPr>
        <w:t>WHEREAS</w:t>
      </w:r>
      <w:r w:rsidR="008C0B9A">
        <w:rPr>
          <w:szCs w:val="24"/>
        </w:rPr>
        <w:t xml:space="preserve">, </w:t>
      </w:r>
      <w:r w:rsidR="00817645">
        <w:rPr>
          <w:szCs w:val="24"/>
        </w:rPr>
        <w:t>on November 18, 2009, the Town Council adopted Resolution 09-76 establishing an Interim Affordable Housing Mitigation Policy</w:t>
      </w:r>
      <w:r w:rsidR="00887C87">
        <w:rPr>
          <w:szCs w:val="24"/>
        </w:rPr>
        <w:t>, which was</w:t>
      </w:r>
      <w:r w:rsidR="00817645">
        <w:rPr>
          <w:szCs w:val="24"/>
        </w:rPr>
        <w:t xml:space="preserve"> amended by Resolution 14-54; and</w:t>
      </w:r>
    </w:p>
    <w:p w:rsidR="008C0B9A" w:rsidRDefault="008C0B9A" w:rsidP="00BE6AF4">
      <w:pPr>
        <w:ind w:right="-187"/>
        <w:rPr>
          <w:szCs w:val="24"/>
        </w:rPr>
      </w:pPr>
    </w:p>
    <w:p w:rsidR="00BE6AF4" w:rsidRDefault="00BE6AF4" w:rsidP="008C0B9A">
      <w:pPr>
        <w:ind w:right="-187" w:firstLine="720"/>
        <w:rPr>
          <w:szCs w:val="24"/>
        </w:rPr>
      </w:pPr>
      <w:r w:rsidRPr="008C0B9A">
        <w:rPr>
          <w:b/>
          <w:bCs/>
          <w:szCs w:val="24"/>
        </w:rPr>
        <w:t>WHEREAS</w:t>
      </w:r>
      <w:r w:rsidRPr="00124486">
        <w:rPr>
          <w:szCs w:val="24"/>
        </w:rPr>
        <w:t xml:space="preserve">, </w:t>
      </w:r>
      <w:r>
        <w:rPr>
          <w:szCs w:val="24"/>
        </w:rPr>
        <w:t xml:space="preserve">the Town Council adopted the Town of Mammoth Lakes Housing Element Update 2014-2019 on June 18, 2014 which includes goals, policies, and actions related to updating housing mitigation requirements; and </w:t>
      </w:r>
    </w:p>
    <w:p w:rsidR="00BE6AF4" w:rsidRDefault="00BE6AF4" w:rsidP="00BE6AF4">
      <w:pPr>
        <w:ind w:firstLine="720"/>
        <w:rPr>
          <w:b/>
          <w:szCs w:val="24"/>
        </w:rPr>
      </w:pPr>
    </w:p>
    <w:p w:rsidR="006373CC" w:rsidRDefault="000F1412">
      <w:pPr>
        <w:spacing w:after="240"/>
        <w:ind w:firstLine="720"/>
        <w:rPr>
          <w:szCs w:val="24"/>
        </w:rPr>
      </w:pPr>
      <w:r w:rsidRPr="001970EE">
        <w:rPr>
          <w:b/>
          <w:szCs w:val="24"/>
        </w:rPr>
        <w:t>WHEREAS</w:t>
      </w:r>
      <w:r w:rsidRPr="001970EE">
        <w:rPr>
          <w:szCs w:val="24"/>
        </w:rPr>
        <w:t>,</w:t>
      </w:r>
      <w:r w:rsidR="00561865" w:rsidRPr="001970EE">
        <w:rPr>
          <w:rStyle w:val="term1"/>
          <w:rFonts w:ascii="Times New Roman" w:hAnsi="Times New Roman"/>
          <w:b w:val="0"/>
          <w:sz w:val="24"/>
          <w:szCs w:val="24"/>
        </w:rPr>
        <w:t xml:space="preserve"> </w:t>
      </w:r>
      <w:r w:rsidR="001970EE" w:rsidRPr="001970EE">
        <w:rPr>
          <w:szCs w:val="24"/>
        </w:rPr>
        <w:t>on January 21, 2015, the Town Council directed an update of the housing ordinance (Municipal Code 17.136)</w:t>
      </w:r>
      <w:r w:rsidR="006826E4">
        <w:rPr>
          <w:szCs w:val="24"/>
        </w:rPr>
        <w:t xml:space="preserve"> </w:t>
      </w:r>
      <w:r w:rsidR="00887C87">
        <w:rPr>
          <w:szCs w:val="24"/>
        </w:rPr>
        <w:t xml:space="preserve">to supersede the Interim Affordable Housing Mitigation Policy (Resolutions 09-76 and 14-54), </w:t>
      </w:r>
      <w:r w:rsidR="006826E4">
        <w:rPr>
          <w:szCs w:val="24"/>
        </w:rPr>
        <w:t>in accordance with Municipal Code Section 17.112.020</w:t>
      </w:r>
      <w:r w:rsidR="00817645">
        <w:rPr>
          <w:szCs w:val="24"/>
        </w:rPr>
        <w:t xml:space="preserve"> and</w:t>
      </w:r>
      <w:r w:rsidR="006373CC" w:rsidRPr="001970EE">
        <w:rPr>
          <w:rStyle w:val="term1"/>
          <w:rFonts w:ascii="Times New Roman" w:hAnsi="Times New Roman"/>
          <w:b w:val="0"/>
          <w:sz w:val="24"/>
          <w:szCs w:val="24"/>
        </w:rPr>
        <w:t>;</w:t>
      </w:r>
      <w:r w:rsidR="006373CC">
        <w:rPr>
          <w:rStyle w:val="term1"/>
          <w:rFonts w:ascii="Times New Roman" w:hAnsi="Times New Roman"/>
          <w:b w:val="0"/>
          <w:sz w:val="24"/>
          <w:szCs w:val="24"/>
        </w:rPr>
        <w:t xml:space="preserve"> and</w:t>
      </w:r>
    </w:p>
    <w:p w:rsidR="000F1412" w:rsidRDefault="006373CC">
      <w:pPr>
        <w:spacing w:after="240"/>
        <w:ind w:firstLine="720"/>
      </w:pPr>
      <w:r>
        <w:rPr>
          <w:b/>
          <w:szCs w:val="24"/>
        </w:rPr>
        <w:t>WHEREAS</w:t>
      </w:r>
      <w:r>
        <w:rPr>
          <w:szCs w:val="24"/>
        </w:rPr>
        <w:t>,</w:t>
      </w:r>
      <w:r w:rsidR="00561865">
        <w:t xml:space="preserve"> </w:t>
      </w:r>
      <w:r w:rsidR="001970EE">
        <w:t>amendments to Municipal Code Chapter 17.148, Definitions, are necessary and appropriate to reflect the update to the housing ordinance (Municipal Code Chapter 17.136)</w:t>
      </w:r>
      <w:r w:rsidR="000F1412">
        <w:t>; and</w:t>
      </w:r>
    </w:p>
    <w:p w:rsidR="006373CC" w:rsidRDefault="006373CC">
      <w:pPr>
        <w:pStyle w:val="FlushLeft"/>
        <w:spacing w:before="0" w:after="240"/>
        <w:ind w:firstLine="720"/>
      </w:pPr>
      <w:r>
        <w:rPr>
          <w:b/>
        </w:rPr>
        <w:t>WHEREAS</w:t>
      </w:r>
      <w:r>
        <w:t>,</w:t>
      </w:r>
      <w:r w:rsidR="00561865">
        <w:t xml:space="preserve"> </w:t>
      </w:r>
      <w:r w:rsidR="00072DE8">
        <w:t xml:space="preserve">the Planning and Economic Development Commission conducted </w:t>
      </w:r>
      <w:bookmarkStart w:id="0" w:name="Text19"/>
      <w:r w:rsidR="00072DE8">
        <w:t xml:space="preserve">a noticed public hearing </w:t>
      </w:r>
      <w:bookmarkEnd w:id="0"/>
      <w:r w:rsidR="00072DE8">
        <w:t xml:space="preserve">on the Zoning Code Amendment request </w:t>
      </w:r>
      <w:r w:rsidR="00072DE8" w:rsidRPr="0091320F">
        <w:t xml:space="preserve">on </w:t>
      </w:r>
      <w:r w:rsidR="00072DE8">
        <w:t>April 29</w:t>
      </w:r>
      <w:r w:rsidR="00072DE8" w:rsidRPr="0091320F">
        <w:t>, 201</w:t>
      </w:r>
      <w:r w:rsidR="00072DE8">
        <w:t>5, at which time all those desiring to be heard were heard</w:t>
      </w:r>
      <w:r>
        <w:t>; and</w:t>
      </w:r>
    </w:p>
    <w:p w:rsidR="00072DE8" w:rsidRDefault="00072DE8">
      <w:pPr>
        <w:pStyle w:val="FlushLeft"/>
        <w:spacing w:before="0" w:after="240"/>
        <w:ind w:firstLine="720"/>
      </w:pPr>
      <w:r w:rsidRPr="00072DE8">
        <w:rPr>
          <w:b/>
        </w:rPr>
        <w:lastRenderedPageBreak/>
        <w:t>WHEREAS,</w:t>
      </w:r>
      <w:r>
        <w:t xml:space="preserve"> </w:t>
      </w:r>
      <w:r w:rsidRPr="001A4340">
        <w:rPr>
          <w:szCs w:val="24"/>
        </w:rPr>
        <w:t xml:space="preserve">following the receipt of all oral and written testimony, the Planning and Economic Development Commission closed the public hearing on </w:t>
      </w:r>
      <w:r>
        <w:t>April 29</w:t>
      </w:r>
      <w:r w:rsidRPr="0091320F">
        <w:t>, 201</w:t>
      </w:r>
      <w:r>
        <w:t xml:space="preserve">5 </w:t>
      </w:r>
      <w:r w:rsidRPr="001A4340">
        <w:rPr>
          <w:szCs w:val="24"/>
        </w:rPr>
        <w:t xml:space="preserve">and adopted Resolution No. </w:t>
      </w:r>
      <w:r>
        <w:rPr>
          <w:szCs w:val="24"/>
        </w:rPr>
        <w:t xml:space="preserve">PEDC </w:t>
      </w:r>
      <w:r w:rsidRPr="001A4340">
        <w:rPr>
          <w:szCs w:val="24"/>
        </w:rPr>
        <w:t>201</w:t>
      </w:r>
      <w:r>
        <w:rPr>
          <w:szCs w:val="24"/>
        </w:rPr>
        <w:t>5-07</w:t>
      </w:r>
      <w:r w:rsidRPr="001A4340">
        <w:rPr>
          <w:szCs w:val="24"/>
        </w:rPr>
        <w:t xml:space="preserve"> recommending </w:t>
      </w:r>
      <w:r>
        <w:rPr>
          <w:szCs w:val="24"/>
        </w:rPr>
        <w:t>to the Town Council, with a 4-0 vote, consideration of the Addendum to the Housing Element Update 2014-2019 Negative Declaration, adoption of the required California Environmental Quality Act and Municipal Code findings, approval of General Plan Amendment 15-001 and Zoning Code Amendment 15-001, and approval of the amenity and design standards for workforce units</w:t>
      </w:r>
      <w:r>
        <w:t>; and</w:t>
      </w:r>
    </w:p>
    <w:p w:rsidR="00B62C93" w:rsidRDefault="00B62C93" w:rsidP="00B62C93">
      <w:pPr>
        <w:pStyle w:val="FlushLeft"/>
        <w:spacing w:before="0" w:after="240"/>
        <w:ind w:firstLine="720"/>
      </w:pPr>
      <w:r w:rsidRPr="008A6668">
        <w:rPr>
          <w:b/>
        </w:rPr>
        <w:t>WHEREAS</w:t>
      </w:r>
      <w:r>
        <w:t>, the Town Co</w:t>
      </w:r>
      <w:r w:rsidR="00726642">
        <w:t>uncil adopted Resolution 2015-13</w:t>
      </w:r>
      <w:r>
        <w:t xml:space="preserve">, making the required California Environmental Quality Act and Municipal Code findings and approving General Plan Amendment 15-001, which modified the Housing Element 2014-2019 to reflect Zoning Code Amendment 15-001; and </w:t>
      </w:r>
    </w:p>
    <w:p w:rsidR="00B62C93" w:rsidRPr="006A44E8" w:rsidRDefault="00B62C93" w:rsidP="00B62C93">
      <w:pPr>
        <w:spacing w:before="240"/>
        <w:ind w:right="-187" w:firstLine="720"/>
        <w:rPr>
          <w:szCs w:val="24"/>
        </w:rPr>
      </w:pPr>
      <w:r w:rsidRPr="00B62C93">
        <w:rPr>
          <w:b/>
          <w:szCs w:val="24"/>
        </w:rPr>
        <w:t>WHEREAS,</w:t>
      </w:r>
      <w:r w:rsidRPr="006A44E8">
        <w:rPr>
          <w:szCs w:val="24"/>
        </w:rPr>
        <w:t xml:space="preserve"> the Town Council considered, without limitation:</w:t>
      </w:r>
    </w:p>
    <w:p w:rsidR="00B62C93" w:rsidRPr="006A44E8" w:rsidRDefault="00B62C93" w:rsidP="00B62C93">
      <w:pPr>
        <w:numPr>
          <w:ilvl w:val="0"/>
          <w:numId w:val="12"/>
        </w:numPr>
        <w:tabs>
          <w:tab w:val="num" w:pos="1440"/>
        </w:tabs>
        <w:overflowPunct w:val="0"/>
        <w:autoSpaceDE w:val="0"/>
        <w:autoSpaceDN w:val="0"/>
        <w:adjustRightInd w:val="0"/>
        <w:spacing w:before="200"/>
        <w:ind w:left="1440" w:right="-187" w:hanging="360"/>
        <w:textAlignment w:val="baseline"/>
        <w:rPr>
          <w:szCs w:val="24"/>
        </w:rPr>
      </w:pPr>
      <w:r w:rsidRPr="006A44E8">
        <w:rPr>
          <w:szCs w:val="24"/>
        </w:rPr>
        <w:t>The Agenda Report to the Town Council with exhibits;</w:t>
      </w:r>
    </w:p>
    <w:p w:rsidR="00B62C93" w:rsidRPr="006A44E8" w:rsidRDefault="00B62C93" w:rsidP="00B62C93">
      <w:pPr>
        <w:numPr>
          <w:ilvl w:val="0"/>
          <w:numId w:val="12"/>
        </w:numPr>
        <w:tabs>
          <w:tab w:val="num" w:pos="1440"/>
        </w:tabs>
        <w:spacing w:before="200"/>
        <w:ind w:left="1440" w:right="-187" w:hanging="360"/>
        <w:rPr>
          <w:szCs w:val="24"/>
        </w:rPr>
      </w:pPr>
      <w:r w:rsidRPr="006A44E8">
        <w:rPr>
          <w:szCs w:val="24"/>
        </w:rPr>
        <w:t>The General Plan, including the Housing Element 2014-2019, Municipal Code, and associated Land Use Maps;</w:t>
      </w:r>
    </w:p>
    <w:p w:rsidR="00B62C93" w:rsidRPr="006A44E8" w:rsidRDefault="00B62C93" w:rsidP="00B62C93">
      <w:pPr>
        <w:numPr>
          <w:ilvl w:val="0"/>
          <w:numId w:val="12"/>
        </w:numPr>
        <w:tabs>
          <w:tab w:val="num" w:pos="1440"/>
        </w:tabs>
        <w:overflowPunct w:val="0"/>
        <w:autoSpaceDE w:val="0"/>
        <w:autoSpaceDN w:val="0"/>
        <w:adjustRightInd w:val="0"/>
        <w:spacing w:before="200"/>
        <w:ind w:left="1440" w:right="-187" w:hanging="360"/>
        <w:textAlignment w:val="baseline"/>
        <w:rPr>
          <w:szCs w:val="24"/>
        </w:rPr>
      </w:pPr>
      <w:r w:rsidRPr="006A44E8">
        <w:rPr>
          <w:szCs w:val="24"/>
        </w:rPr>
        <w:t>Oral evidence submitted at the hearing;</w:t>
      </w:r>
    </w:p>
    <w:p w:rsidR="00B62C93" w:rsidRPr="006A44E8" w:rsidRDefault="00B62C93" w:rsidP="00B62C93">
      <w:pPr>
        <w:numPr>
          <w:ilvl w:val="0"/>
          <w:numId w:val="12"/>
        </w:numPr>
        <w:tabs>
          <w:tab w:val="num" w:pos="1440"/>
        </w:tabs>
        <w:overflowPunct w:val="0"/>
        <w:autoSpaceDE w:val="0"/>
        <w:autoSpaceDN w:val="0"/>
        <w:adjustRightInd w:val="0"/>
        <w:spacing w:before="200"/>
        <w:ind w:left="1440" w:right="-187" w:hanging="360"/>
        <w:textAlignment w:val="baseline"/>
        <w:rPr>
          <w:szCs w:val="24"/>
        </w:rPr>
      </w:pPr>
      <w:r w:rsidRPr="006A44E8">
        <w:rPr>
          <w:szCs w:val="24"/>
        </w:rPr>
        <w:t xml:space="preserve">Written evidence submitted at the hearing; </w:t>
      </w:r>
    </w:p>
    <w:p w:rsidR="00B62C93" w:rsidRPr="006A44E8" w:rsidRDefault="00B62C93" w:rsidP="00B62C93">
      <w:pPr>
        <w:numPr>
          <w:ilvl w:val="0"/>
          <w:numId w:val="12"/>
        </w:numPr>
        <w:tabs>
          <w:tab w:val="num" w:pos="1440"/>
        </w:tabs>
        <w:overflowPunct w:val="0"/>
        <w:autoSpaceDE w:val="0"/>
        <w:autoSpaceDN w:val="0"/>
        <w:adjustRightInd w:val="0"/>
        <w:spacing w:before="200"/>
        <w:ind w:left="1440" w:right="-187" w:hanging="360"/>
        <w:textAlignment w:val="baseline"/>
        <w:rPr>
          <w:szCs w:val="24"/>
        </w:rPr>
      </w:pPr>
      <w:r w:rsidRPr="006A44E8">
        <w:rPr>
          <w:szCs w:val="24"/>
        </w:rPr>
        <w:t>The Town of Mammoth Lakes Addendum to the Housing Element Update 2014-2019 Negative Declaration (State Clearinghouse No. 20</w:t>
      </w:r>
      <w:r>
        <w:rPr>
          <w:szCs w:val="24"/>
        </w:rPr>
        <w:t>14032067) dated April 17, 2015</w:t>
      </w:r>
      <w:r w:rsidRPr="006A44E8">
        <w:rPr>
          <w:szCs w:val="24"/>
        </w:rPr>
        <w:t xml:space="preserve">; </w:t>
      </w:r>
    </w:p>
    <w:p w:rsidR="00B62C93" w:rsidRPr="006A44E8" w:rsidRDefault="00B62C93" w:rsidP="00B62C93">
      <w:pPr>
        <w:numPr>
          <w:ilvl w:val="0"/>
          <w:numId w:val="12"/>
        </w:numPr>
        <w:tabs>
          <w:tab w:val="num" w:pos="1440"/>
        </w:tabs>
        <w:overflowPunct w:val="0"/>
        <w:autoSpaceDE w:val="0"/>
        <w:autoSpaceDN w:val="0"/>
        <w:adjustRightInd w:val="0"/>
        <w:spacing w:before="200"/>
        <w:ind w:left="1440" w:right="-187" w:hanging="360"/>
        <w:textAlignment w:val="baseline"/>
        <w:rPr>
          <w:szCs w:val="24"/>
        </w:rPr>
      </w:pPr>
      <w:r w:rsidRPr="006A44E8">
        <w:rPr>
          <w:szCs w:val="24"/>
        </w:rPr>
        <w:t>The Town of Mammoth Lakes Housing Element Update 2014-2019 Initial Study/Negative Declaration dated March 17, 2014, and the Addition and Response to Comments dated June 18, 2014 (collectively the “Negative Declaration”); and</w:t>
      </w:r>
    </w:p>
    <w:p w:rsidR="00B62C93" w:rsidRPr="006A44E8" w:rsidRDefault="00B62C93" w:rsidP="00B62C93">
      <w:pPr>
        <w:tabs>
          <w:tab w:val="num" w:pos="1080"/>
        </w:tabs>
        <w:overflowPunct w:val="0"/>
        <w:autoSpaceDE w:val="0"/>
        <w:autoSpaceDN w:val="0"/>
        <w:adjustRightInd w:val="0"/>
        <w:ind w:left="1080" w:right="-187"/>
        <w:textAlignment w:val="baseline"/>
        <w:rPr>
          <w:szCs w:val="24"/>
        </w:rPr>
      </w:pPr>
    </w:p>
    <w:p w:rsidR="00561865" w:rsidRDefault="00561865" w:rsidP="00561865">
      <w:pPr>
        <w:pStyle w:val="FlushLeft"/>
        <w:spacing w:before="0" w:after="240"/>
        <w:ind w:firstLine="720"/>
      </w:pPr>
      <w:r w:rsidRPr="00B95D1E">
        <w:rPr>
          <w:b/>
        </w:rPr>
        <w:t>WHEREAS,</w:t>
      </w:r>
      <w:r>
        <w:t xml:space="preserve"> all legal prerequisites for the adoption of this Ordinance have occurred; </w:t>
      </w:r>
    </w:p>
    <w:p w:rsidR="002435B2" w:rsidRPr="00F82EC0" w:rsidRDefault="002435B2" w:rsidP="00561865">
      <w:pPr>
        <w:pStyle w:val="FlushLeft"/>
        <w:spacing w:before="0" w:after="240"/>
        <w:ind w:firstLine="720"/>
        <w:rPr>
          <w:b/>
        </w:rPr>
      </w:pPr>
      <w:r w:rsidRPr="00F82EC0">
        <w:rPr>
          <w:b/>
        </w:rPr>
        <w:t xml:space="preserve">NOW, THEREFORE, THE </w:t>
      </w:r>
      <w:r w:rsidR="00051F35">
        <w:rPr>
          <w:b/>
        </w:rPr>
        <w:t>TOWN</w:t>
      </w:r>
      <w:r w:rsidRPr="00F82EC0">
        <w:rPr>
          <w:b/>
        </w:rPr>
        <w:t xml:space="preserve"> COUNCIL OF THE </w:t>
      </w:r>
      <w:r w:rsidR="00051F35">
        <w:rPr>
          <w:b/>
        </w:rPr>
        <w:t>TOWN</w:t>
      </w:r>
      <w:r w:rsidRPr="00F82EC0">
        <w:rPr>
          <w:b/>
        </w:rPr>
        <w:t xml:space="preserve"> OF </w:t>
      </w:r>
      <w:r w:rsidR="00051F35">
        <w:rPr>
          <w:b/>
        </w:rPr>
        <w:t>MAMMOTH LAKES</w:t>
      </w:r>
      <w:r w:rsidRPr="00F82EC0">
        <w:rPr>
          <w:b/>
        </w:rPr>
        <w:t>, CALIFORNIA, DOES HEREBY ORDAIN AS FOLLOWS:</w:t>
      </w:r>
    </w:p>
    <w:p w:rsidR="000E0A04" w:rsidRDefault="000E0A04">
      <w:pPr>
        <w:pStyle w:val="FlushLeft"/>
        <w:spacing w:before="0" w:after="240"/>
      </w:pPr>
      <w:proofErr w:type="gramStart"/>
      <w:r w:rsidRPr="00145F93">
        <w:rPr>
          <w:b/>
          <w:i/>
        </w:rPr>
        <w:t>Section</w:t>
      </w:r>
      <w:r w:rsidRPr="00145F93">
        <w:rPr>
          <w:i/>
        </w:rPr>
        <w:t xml:space="preserve"> </w:t>
      </w:r>
      <w:r w:rsidRPr="00CB2E9A">
        <w:rPr>
          <w:b/>
          <w:i/>
        </w:rPr>
        <w:t>1</w:t>
      </w:r>
      <w:r w:rsidRPr="00145F93">
        <w:rPr>
          <w:i/>
        </w:rPr>
        <w:t>.</w:t>
      </w:r>
      <w:proofErr w:type="gramEnd"/>
      <w:r>
        <w:t xml:space="preserve"> </w:t>
      </w:r>
      <w:r w:rsidR="00234DD7">
        <w:tab/>
      </w:r>
      <w:proofErr w:type="gramStart"/>
      <w:r w:rsidR="00E97A62" w:rsidRPr="00E97A62">
        <w:rPr>
          <w:u w:val="single"/>
        </w:rPr>
        <w:t>Recitals</w:t>
      </w:r>
      <w:r w:rsidR="00E97A62">
        <w:t>.</w:t>
      </w:r>
      <w:proofErr w:type="gramEnd"/>
      <w:r w:rsidR="00E97A62">
        <w:t xml:space="preserve">  </w:t>
      </w:r>
      <w:r>
        <w:t xml:space="preserve">The above recitals are all true and correct. </w:t>
      </w:r>
    </w:p>
    <w:p w:rsidR="00561865" w:rsidRDefault="006373CC">
      <w:pPr>
        <w:pStyle w:val="FlushLeft"/>
        <w:spacing w:before="0" w:after="240"/>
      </w:pPr>
      <w:proofErr w:type="gramStart"/>
      <w:r>
        <w:rPr>
          <w:b/>
          <w:i/>
        </w:rPr>
        <w:t>Section 2</w:t>
      </w:r>
      <w:r w:rsidR="000E0A04" w:rsidRPr="00B95D1E">
        <w:rPr>
          <w:b/>
          <w:i/>
        </w:rPr>
        <w:t>.</w:t>
      </w:r>
      <w:proofErr w:type="gramEnd"/>
      <w:r w:rsidR="000E0A04" w:rsidRPr="00B95D1E">
        <w:rPr>
          <w:b/>
        </w:rPr>
        <w:t xml:space="preserve"> </w:t>
      </w:r>
      <w:r w:rsidR="000E0A04">
        <w:tab/>
      </w:r>
      <w:proofErr w:type="gramStart"/>
      <w:r w:rsidR="00561865" w:rsidRPr="00561865">
        <w:rPr>
          <w:u w:val="single"/>
        </w:rPr>
        <w:t>Environmental Review.</w:t>
      </w:r>
      <w:proofErr w:type="gramEnd"/>
      <w:r w:rsidR="005F6AAC">
        <w:rPr>
          <w:u w:val="single"/>
        </w:rPr>
        <w:t xml:space="preserve"> </w:t>
      </w:r>
      <w:r w:rsidR="005F6AAC">
        <w:t>The Town Council makes the following findings and takes the following actions pursuant to the requirements of the California Environmental Quality Act (CEQA):</w:t>
      </w:r>
    </w:p>
    <w:p w:rsidR="00A20466" w:rsidRDefault="005F6AAC" w:rsidP="00A20466">
      <w:pPr>
        <w:pStyle w:val="FlushLeft"/>
        <w:spacing w:before="0"/>
        <w:ind w:left="720" w:firstLine="720"/>
        <w:rPr>
          <w:szCs w:val="24"/>
        </w:rPr>
      </w:pPr>
      <w:r>
        <w:t>CEQA Findings:</w:t>
      </w:r>
      <w:r w:rsidR="00B62C93">
        <w:t xml:space="preserve"> </w:t>
      </w:r>
      <w:r w:rsidR="00B62C93" w:rsidRPr="00396CFD">
        <w:rPr>
          <w:szCs w:val="24"/>
        </w:rPr>
        <w:t>N</w:t>
      </w:r>
      <w:r w:rsidR="00B62C93">
        <w:rPr>
          <w:szCs w:val="24"/>
        </w:rPr>
        <w:t xml:space="preserve">egative </w:t>
      </w:r>
      <w:r w:rsidR="00B62C93" w:rsidRPr="00396CFD">
        <w:rPr>
          <w:szCs w:val="24"/>
        </w:rPr>
        <w:t>D</w:t>
      </w:r>
      <w:r w:rsidR="00B62C93">
        <w:rPr>
          <w:szCs w:val="24"/>
        </w:rPr>
        <w:t>eclaration</w:t>
      </w:r>
      <w:r w:rsidR="00B62C93" w:rsidRPr="00396CFD">
        <w:rPr>
          <w:szCs w:val="24"/>
        </w:rPr>
        <w:t xml:space="preserve"> Addendum</w:t>
      </w:r>
      <w:r w:rsidR="00A20466">
        <w:rPr>
          <w:szCs w:val="24"/>
        </w:rPr>
        <w:t xml:space="preserve"> </w:t>
      </w:r>
    </w:p>
    <w:p w:rsidR="00B62C93" w:rsidRPr="00A20466" w:rsidRDefault="00B62C93" w:rsidP="00A20466">
      <w:pPr>
        <w:pStyle w:val="FlushLeft"/>
        <w:spacing w:before="0" w:after="240"/>
        <w:ind w:left="720" w:firstLine="720"/>
      </w:pPr>
      <w:r>
        <w:rPr>
          <w:szCs w:val="24"/>
        </w:rPr>
        <w:t>CEQA</w:t>
      </w:r>
      <w:r w:rsidRPr="00396CFD">
        <w:rPr>
          <w:szCs w:val="24"/>
        </w:rPr>
        <w:t xml:space="preserve"> Guidelines Section</w:t>
      </w:r>
      <w:r>
        <w:rPr>
          <w:szCs w:val="24"/>
        </w:rPr>
        <w:t>s 15162 and</w:t>
      </w:r>
      <w:r w:rsidRPr="00396CFD">
        <w:rPr>
          <w:szCs w:val="24"/>
        </w:rPr>
        <w:t xml:space="preserve"> 15164</w:t>
      </w:r>
    </w:p>
    <w:p w:rsidR="00B62C93" w:rsidRDefault="00B62C93" w:rsidP="00B62C93">
      <w:pPr>
        <w:numPr>
          <w:ilvl w:val="0"/>
          <w:numId w:val="11"/>
        </w:numPr>
        <w:tabs>
          <w:tab w:val="clear" w:pos="360"/>
          <w:tab w:val="num" w:pos="1080"/>
          <w:tab w:val="left" w:pos="1800"/>
        </w:tabs>
        <w:overflowPunct w:val="0"/>
        <w:autoSpaceDE w:val="0"/>
        <w:autoSpaceDN w:val="0"/>
        <w:adjustRightInd w:val="0"/>
        <w:spacing w:before="240"/>
        <w:ind w:left="1800" w:right="-180"/>
        <w:textAlignment w:val="baseline"/>
        <w:rPr>
          <w:szCs w:val="24"/>
        </w:rPr>
      </w:pPr>
      <w:r w:rsidRPr="006D0C9D">
        <w:rPr>
          <w:szCs w:val="24"/>
        </w:rPr>
        <w:t xml:space="preserve">The </w:t>
      </w:r>
      <w:r>
        <w:rPr>
          <w:szCs w:val="24"/>
        </w:rPr>
        <w:t>Town Council</w:t>
      </w:r>
      <w:r w:rsidRPr="006D0C9D">
        <w:rPr>
          <w:szCs w:val="24"/>
        </w:rPr>
        <w:t xml:space="preserve"> considered the proposed </w:t>
      </w:r>
      <w:r>
        <w:rPr>
          <w:szCs w:val="24"/>
        </w:rPr>
        <w:t xml:space="preserve">Addendum to the </w:t>
      </w:r>
      <w:r>
        <w:t>Housing Element Update 2014-2019 Negative Declaration (State Clearinghouse No. 2014032067</w:t>
      </w:r>
      <w:r>
        <w:rPr>
          <w:szCs w:val="24"/>
        </w:rPr>
        <w:t xml:space="preserve">) </w:t>
      </w:r>
      <w:r w:rsidRPr="006D0C9D">
        <w:rPr>
          <w:szCs w:val="24"/>
        </w:rPr>
        <w:t>together with</w:t>
      </w:r>
      <w:r>
        <w:rPr>
          <w:szCs w:val="24"/>
        </w:rPr>
        <w:t xml:space="preserve"> the Negative Declaration and</w:t>
      </w:r>
      <w:r w:rsidRPr="006D0C9D">
        <w:rPr>
          <w:szCs w:val="24"/>
        </w:rPr>
        <w:t xml:space="preserve"> </w:t>
      </w:r>
      <w:r>
        <w:rPr>
          <w:szCs w:val="24"/>
        </w:rPr>
        <w:t>any</w:t>
      </w:r>
      <w:r w:rsidRPr="006D0C9D">
        <w:rPr>
          <w:szCs w:val="24"/>
        </w:rPr>
        <w:t xml:space="preserve"> comments </w:t>
      </w:r>
      <w:r w:rsidRPr="006D0C9D">
        <w:rPr>
          <w:szCs w:val="24"/>
        </w:rPr>
        <w:lastRenderedPageBreak/>
        <w:t>received</w:t>
      </w:r>
      <w:r>
        <w:rPr>
          <w:szCs w:val="24"/>
        </w:rPr>
        <w:t xml:space="preserve"> pursuant to CEQA</w:t>
      </w:r>
      <w:r w:rsidRPr="006D0C9D">
        <w:rPr>
          <w:szCs w:val="24"/>
        </w:rPr>
        <w:t xml:space="preserve">, and finds that on the basis of the whole record, there is no substantial evidence that the </w:t>
      </w:r>
      <w:r>
        <w:rPr>
          <w:szCs w:val="24"/>
        </w:rPr>
        <w:t xml:space="preserve">proposed housing ordinance update, Zoning Code Amendment 15-001, </w:t>
      </w:r>
      <w:r w:rsidRPr="006D0C9D">
        <w:rPr>
          <w:szCs w:val="24"/>
        </w:rPr>
        <w:t xml:space="preserve">will </w:t>
      </w:r>
      <w:r>
        <w:rPr>
          <w:szCs w:val="24"/>
        </w:rPr>
        <w:t>result in any new or substantially increased</w:t>
      </w:r>
      <w:r w:rsidRPr="006D0C9D">
        <w:rPr>
          <w:szCs w:val="24"/>
        </w:rPr>
        <w:t xml:space="preserve"> signif</w:t>
      </w:r>
      <w:r>
        <w:rPr>
          <w:szCs w:val="24"/>
        </w:rPr>
        <w:t>icant effects on the environment.</w:t>
      </w:r>
    </w:p>
    <w:p w:rsidR="00B62C93" w:rsidRDefault="00B62C93" w:rsidP="00B62C93">
      <w:pPr>
        <w:numPr>
          <w:ilvl w:val="0"/>
          <w:numId w:val="11"/>
        </w:numPr>
        <w:tabs>
          <w:tab w:val="clear" w:pos="360"/>
          <w:tab w:val="num" w:pos="1080"/>
          <w:tab w:val="left" w:pos="1800"/>
        </w:tabs>
        <w:overflowPunct w:val="0"/>
        <w:autoSpaceDE w:val="0"/>
        <w:autoSpaceDN w:val="0"/>
        <w:adjustRightInd w:val="0"/>
        <w:spacing w:before="240"/>
        <w:ind w:left="1800" w:right="-180"/>
        <w:textAlignment w:val="baseline"/>
        <w:rPr>
          <w:szCs w:val="24"/>
        </w:rPr>
      </w:pPr>
      <w:r>
        <w:rPr>
          <w:szCs w:val="24"/>
        </w:rPr>
        <w:t>An Addendum is appropriate because only minor technical changes or additions are necessary and the conditions described in CEQA Section 15162 calling for the preparation of a subsequent Negative Declaration have not occurred as described herein</w:t>
      </w:r>
      <w:r w:rsidRPr="00B62C93">
        <w:rPr>
          <w:szCs w:val="24"/>
        </w:rPr>
        <w:t>.</w:t>
      </w:r>
    </w:p>
    <w:p w:rsidR="00B62C93" w:rsidRPr="006A44E8" w:rsidRDefault="00B62C93" w:rsidP="00B62C93">
      <w:pPr>
        <w:numPr>
          <w:ilvl w:val="0"/>
          <w:numId w:val="11"/>
        </w:numPr>
        <w:tabs>
          <w:tab w:val="clear" w:pos="360"/>
          <w:tab w:val="left" w:pos="-270"/>
          <w:tab w:val="num" w:pos="1080"/>
        </w:tabs>
        <w:overflowPunct w:val="0"/>
        <w:autoSpaceDE w:val="0"/>
        <w:autoSpaceDN w:val="0"/>
        <w:adjustRightInd w:val="0"/>
        <w:spacing w:before="240"/>
        <w:ind w:left="1800" w:right="-180"/>
        <w:textAlignment w:val="baseline"/>
        <w:rPr>
          <w:szCs w:val="24"/>
        </w:rPr>
      </w:pPr>
      <w:r w:rsidRPr="006A44E8">
        <w:rPr>
          <w:szCs w:val="24"/>
        </w:rPr>
        <w:t xml:space="preserve">On June 18, 2014, the Town Council found that the Negative Declaration had been completed in compliance with CEQA and reflected the lead agency’s independent judgment and analysis. No substantial changes have occurred with respect to the circumstances under which the Housing Element 2014-2019 was undertaken which would require major revisions to the Negative Declaration due to the involvement of significant environmental effects. </w:t>
      </w:r>
    </w:p>
    <w:p w:rsidR="00B62C93" w:rsidRPr="006A44E8" w:rsidRDefault="00B62C93" w:rsidP="00B62C93">
      <w:pPr>
        <w:numPr>
          <w:ilvl w:val="0"/>
          <w:numId w:val="11"/>
        </w:numPr>
        <w:tabs>
          <w:tab w:val="clear" w:pos="360"/>
          <w:tab w:val="left" w:pos="-270"/>
          <w:tab w:val="num" w:pos="1080"/>
        </w:tabs>
        <w:overflowPunct w:val="0"/>
        <w:autoSpaceDE w:val="0"/>
        <w:autoSpaceDN w:val="0"/>
        <w:adjustRightInd w:val="0"/>
        <w:spacing w:before="240"/>
        <w:ind w:left="1800" w:right="-180"/>
        <w:textAlignment w:val="baseline"/>
        <w:rPr>
          <w:szCs w:val="24"/>
        </w:rPr>
      </w:pPr>
      <w:r w:rsidRPr="006A44E8">
        <w:rPr>
          <w:szCs w:val="24"/>
        </w:rPr>
        <w:t>No new information of substantial importance, which was not known and could not have been known with the exercise of reasonable diligence at the time the Negative Declaration was adopted, shows the project will have a significant effect not discussed in the Negative Declaration.</w:t>
      </w:r>
    </w:p>
    <w:p w:rsidR="00B62C93" w:rsidRPr="006A44E8" w:rsidRDefault="00B62C93" w:rsidP="00B62C93">
      <w:pPr>
        <w:numPr>
          <w:ilvl w:val="0"/>
          <w:numId w:val="11"/>
        </w:numPr>
        <w:tabs>
          <w:tab w:val="clear" w:pos="360"/>
          <w:tab w:val="left" w:pos="-270"/>
          <w:tab w:val="num" w:pos="1080"/>
        </w:tabs>
        <w:overflowPunct w:val="0"/>
        <w:autoSpaceDE w:val="0"/>
        <w:autoSpaceDN w:val="0"/>
        <w:adjustRightInd w:val="0"/>
        <w:spacing w:before="240"/>
        <w:ind w:left="1800" w:right="-180"/>
        <w:textAlignment w:val="baseline"/>
        <w:rPr>
          <w:szCs w:val="24"/>
        </w:rPr>
      </w:pPr>
      <w:r w:rsidRPr="006A44E8">
        <w:rPr>
          <w:szCs w:val="24"/>
        </w:rPr>
        <w:t>An Addendum to the Negative Declaration has been prepared because the lead agency determined that the preparation of subsequent Environmental Impact Report is not required pursuant to CEQA Guidelines Section 15162(a), as described herein.</w:t>
      </w:r>
    </w:p>
    <w:p w:rsidR="00B62C93" w:rsidRPr="006A44E8" w:rsidRDefault="00B62C93" w:rsidP="00B62C93">
      <w:pPr>
        <w:numPr>
          <w:ilvl w:val="0"/>
          <w:numId w:val="11"/>
        </w:numPr>
        <w:tabs>
          <w:tab w:val="clear" w:pos="360"/>
          <w:tab w:val="left" w:pos="-270"/>
          <w:tab w:val="num" w:pos="1080"/>
        </w:tabs>
        <w:overflowPunct w:val="0"/>
        <w:autoSpaceDE w:val="0"/>
        <w:autoSpaceDN w:val="0"/>
        <w:adjustRightInd w:val="0"/>
        <w:spacing w:before="240"/>
        <w:ind w:left="1800" w:right="-180"/>
        <w:textAlignment w:val="baseline"/>
        <w:rPr>
          <w:szCs w:val="24"/>
        </w:rPr>
      </w:pPr>
      <w:r w:rsidRPr="006A44E8">
        <w:rPr>
          <w:szCs w:val="24"/>
        </w:rPr>
        <w:t>The Town Council finds that the Addendum to Housing Element Update 2014-2019 Negative Declaration reflects the lead agency’s independent judgment and analysis.</w:t>
      </w:r>
    </w:p>
    <w:p w:rsidR="00B62C93" w:rsidRPr="006A44E8" w:rsidRDefault="00B62C93" w:rsidP="00B62C93">
      <w:pPr>
        <w:numPr>
          <w:ilvl w:val="0"/>
          <w:numId w:val="11"/>
        </w:numPr>
        <w:tabs>
          <w:tab w:val="clear" w:pos="360"/>
          <w:tab w:val="left" w:pos="-270"/>
          <w:tab w:val="num" w:pos="1080"/>
        </w:tabs>
        <w:overflowPunct w:val="0"/>
        <w:autoSpaceDE w:val="0"/>
        <w:autoSpaceDN w:val="0"/>
        <w:adjustRightInd w:val="0"/>
        <w:spacing w:before="240"/>
        <w:ind w:left="1800" w:right="-180"/>
        <w:textAlignment w:val="baseline"/>
        <w:rPr>
          <w:szCs w:val="24"/>
        </w:rPr>
      </w:pPr>
      <w:r w:rsidRPr="006A44E8">
        <w:rPr>
          <w:szCs w:val="24"/>
        </w:rPr>
        <w:t xml:space="preserve">The custodian and location of the documents and other material which constitute the record of proceedings upon which this decision is based is the Town Clerk at the Town of Mammoth Lakes Offices, 437 Old Mammoth Road, Suite R, </w:t>
      </w:r>
      <w:proofErr w:type="gramStart"/>
      <w:r w:rsidRPr="006A44E8">
        <w:rPr>
          <w:szCs w:val="24"/>
        </w:rPr>
        <w:t>Mammoth</w:t>
      </w:r>
      <w:proofErr w:type="gramEnd"/>
      <w:r w:rsidRPr="006A44E8">
        <w:rPr>
          <w:szCs w:val="24"/>
        </w:rPr>
        <w:t xml:space="preserve"> Lakes, California 93546.</w:t>
      </w:r>
    </w:p>
    <w:p w:rsidR="00B62C93" w:rsidRPr="006A44E8" w:rsidRDefault="00B62C93" w:rsidP="00A20466">
      <w:pPr>
        <w:numPr>
          <w:ilvl w:val="0"/>
          <w:numId w:val="11"/>
        </w:numPr>
        <w:tabs>
          <w:tab w:val="clear" w:pos="360"/>
          <w:tab w:val="left" w:pos="-270"/>
          <w:tab w:val="num" w:pos="1080"/>
        </w:tabs>
        <w:overflowPunct w:val="0"/>
        <w:autoSpaceDE w:val="0"/>
        <w:autoSpaceDN w:val="0"/>
        <w:adjustRightInd w:val="0"/>
        <w:spacing w:before="240"/>
        <w:ind w:left="1800" w:right="-180"/>
        <w:textAlignment w:val="baseline"/>
        <w:rPr>
          <w:szCs w:val="24"/>
        </w:rPr>
      </w:pPr>
      <w:r w:rsidRPr="006A44E8">
        <w:rPr>
          <w:szCs w:val="24"/>
        </w:rPr>
        <w:t>A program for reporting on or monitoring mitigation measures is not required because the project will not have a significant effect on the environment.</w:t>
      </w:r>
    </w:p>
    <w:p w:rsidR="00B62C93" w:rsidRPr="006A44E8" w:rsidRDefault="00B62C93" w:rsidP="00A20466">
      <w:pPr>
        <w:numPr>
          <w:ilvl w:val="0"/>
          <w:numId w:val="11"/>
        </w:numPr>
        <w:tabs>
          <w:tab w:val="clear" w:pos="360"/>
          <w:tab w:val="left" w:pos="-270"/>
          <w:tab w:val="num" w:pos="1080"/>
        </w:tabs>
        <w:overflowPunct w:val="0"/>
        <w:autoSpaceDE w:val="0"/>
        <w:autoSpaceDN w:val="0"/>
        <w:adjustRightInd w:val="0"/>
        <w:spacing w:before="240"/>
        <w:ind w:left="1800" w:right="-180"/>
        <w:textAlignment w:val="baseline"/>
        <w:rPr>
          <w:szCs w:val="24"/>
        </w:rPr>
      </w:pPr>
      <w:r w:rsidRPr="006A44E8">
        <w:rPr>
          <w:szCs w:val="24"/>
        </w:rPr>
        <w:t>The Town Council finds that project will not result in a safety hazard or noise problem for persons using the Mammoth Yosemite Airport or for persons residing or working in the project area because the project will not have a significant impact on the environment, the Airport Zone does not allow workforce housing, and workforce housing would be located approximately eight miles from the Mammoth Yosemite Airport.</w:t>
      </w:r>
    </w:p>
    <w:p w:rsidR="00A20466" w:rsidRDefault="00A20466" w:rsidP="00D82BEF">
      <w:pPr>
        <w:pStyle w:val="FlushLeft"/>
        <w:spacing w:before="0"/>
        <w:ind w:left="1440"/>
      </w:pPr>
    </w:p>
    <w:p w:rsidR="005F6AAC" w:rsidRDefault="005F6AAC" w:rsidP="00D82BEF">
      <w:pPr>
        <w:pStyle w:val="FlushLeft"/>
        <w:spacing w:before="0"/>
        <w:ind w:left="1440"/>
      </w:pPr>
      <w:r>
        <w:t>CEQA Action:</w:t>
      </w:r>
      <w:r w:rsidR="00D82BEF">
        <w:t xml:space="preserve"> The Town Council directs</w:t>
      </w:r>
      <w:r>
        <w:t xml:space="preserve"> staff to file a </w:t>
      </w:r>
      <w:r w:rsidR="00D82BEF">
        <w:t>Notice of Determination.</w:t>
      </w:r>
    </w:p>
    <w:p w:rsidR="00D82BEF" w:rsidRDefault="00D82BEF" w:rsidP="00D82BEF">
      <w:pPr>
        <w:pStyle w:val="FlushLeft"/>
        <w:spacing w:before="0"/>
        <w:ind w:left="720" w:firstLine="720"/>
      </w:pPr>
    </w:p>
    <w:p w:rsidR="00561865" w:rsidRDefault="00561865">
      <w:pPr>
        <w:pStyle w:val="FlushLeft"/>
        <w:spacing w:before="0" w:after="240"/>
      </w:pPr>
      <w:proofErr w:type="gramStart"/>
      <w:r w:rsidRPr="00561865">
        <w:rPr>
          <w:b/>
          <w:i/>
        </w:rPr>
        <w:lastRenderedPageBreak/>
        <w:t>Section 3.</w:t>
      </w:r>
      <w:proofErr w:type="gramEnd"/>
      <w:r>
        <w:t xml:space="preserve"> </w:t>
      </w:r>
      <w:r>
        <w:tab/>
      </w:r>
      <w:proofErr w:type="gramStart"/>
      <w:r w:rsidRPr="00561865">
        <w:rPr>
          <w:u w:val="single"/>
        </w:rPr>
        <w:t>Findings.</w:t>
      </w:r>
      <w:proofErr w:type="gramEnd"/>
      <w:r w:rsidR="005F6AAC">
        <w:rPr>
          <w:u w:val="single"/>
        </w:rPr>
        <w:t xml:space="preserve"> </w:t>
      </w:r>
      <w:r w:rsidR="005F6AAC">
        <w:t>The Town Council HEREBY FINDS AND DETERMINES based on the information presented herewith:</w:t>
      </w:r>
    </w:p>
    <w:p w:rsidR="00A20466" w:rsidRDefault="00A20466" w:rsidP="00A20466">
      <w:pPr>
        <w:spacing w:after="240"/>
        <w:ind w:firstLine="1440"/>
        <w:jc w:val="left"/>
      </w:pPr>
      <w:r>
        <w:t>Findings for Zoning Code Amendment (Municipal Code Section 17.112.060)</w:t>
      </w:r>
    </w:p>
    <w:p w:rsidR="00A20466" w:rsidRDefault="00A20466" w:rsidP="00A20466">
      <w:pPr>
        <w:numPr>
          <w:ilvl w:val="0"/>
          <w:numId w:val="13"/>
        </w:numPr>
        <w:tabs>
          <w:tab w:val="clear" w:pos="2340"/>
          <w:tab w:val="num" w:pos="1800"/>
        </w:tabs>
        <w:ind w:left="1800"/>
      </w:pPr>
      <w:r>
        <w:t>The proposed amendment is internally consistent with all other provisions of the General Plan because the Housing Element of the General Plan directs the adoption of an updated housing ordinance, and the updated housing ordinance provides methods by which development projects can mitigate housing and includes provisions for livability and design standards to ensure workforce housing units are adequate and appropriate. Also, the housing ordinance update incorporates specific General Plan policies, including Policies L.2.D, H.1.C, and H.2.B. There is no applicable specific plan or master plan.</w:t>
      </w:r>
    </w:p>
    <w:p w:rsidR="00A20466" w:rsidRDefault="00A20466" w:rsidP="00A20466">
      <w:pPr>
        <w:tabs>
          <w:tab w:val="num" w:pos="1800"/>
        </w:tabs>
        <w:ind w:left="1800" w:hanging="360"/>
      </w:pPr>
    </w:p>
    <w:p w:rsidR="00A20466" w:rsidRDefault="00A20466" w:rsidP="00A20466">
      <w:pPr>
        <w:numPr>
          <w:ilvl w:val="0"/>
          <w:numId w:val="13"/>
        </w:numPr>
        <w:tabs>
          <w:tab w:val="clear" w:pos="2340"/>
          <w:tab w:val="num" w:pos="1800"/>
        </w:tabs>
        <w:ind w:left="1800"/>
      </w:pPr>
      <w:r>
        <w:t xml:space="preserve">The proposed amendment would not be detrimental to the public interest, health, safety, convenience, or welfare of the town because the updated housing ordinance provides methods by which development projects can mitigate housing and includes provisions for livability and design standards to ensure workforce housing units are adequate and appropriate. The ordinance requires that mitigation housing be located within the Town’s boundaries, which would encourage workforce to live in town rather than commute from neighboring </w:t>
      </w:r>
      <w:r w:rsidRPr="00774667">
        <w:t xml:space="preserve">communities. </w:t>
      </w:r>
      <w:r w:rsidRPr="00774667">
        <w:rPr>
          <w:bCs/>
        </w:rPr>
        <w:t>When increased density would be allowed pursuant to the ordinance, a finding that the project would not result in significant and unavoidable environmental impacts is required.</w:t>
      </w:r>
    </w:p>
    <w:p w:rsidR="00A20466" w:rsidRDefault="00A20466" w:rsidP="00A20466">
      <w:pPr>
        <w:tabs>
          <w:tab w:val="num" w:pos="1800"/>
        </w:tabs>
        <w:ind w:left="1800" w:hanging="360"/>
      </w:pPr>
    </w:p>
    <w:p w:rsidR="00A20466" w:rsidRDefault="00A20466" w:rsidP="00A20466">
      <w:pPr>
        <w:numPr>
          <w:ilvl w:val="0"/>
          <w:numId w:val="13"/>
        </w:numPr>
        <w:tabs>
          <w:tab w:val="clear" w:pos="2340"/>
          <w:tab w:val="num" w:pos="1800"/>
        </w:tabs>
        <w:ind w:left="1800"/>
      </w:pPr>
      <w:r>
        <w:t xml:space="preserve">The proposed amendment is in compliance with the provisions of the California Environmental Quality Act (CEQA) because an </w:t>
      </w:r>
      <w:r>
        <w:rPr>
          <w:szCs w:val="24"/>
        </w:rPr>
        <w:t xml:space="preserve">Addendum to the </w:t>
      </w:r>
      <w:r>
        <w:t>Housing Element Update 2014-2019 Negative Declaration (State Clearinghouse No. 2014032067</w:t>
      </w:r>
      <w:r>
        <w:rPr>
          <w:szCs w:val="24"/>
        </w:rPr>
        <w:t>) has been prepared and considered by the decision-making bodies for this Project.</w:t>
      </w:r>
    </w:p>
    <w:p w:rsidR="00A20466" w:rsidRDefault="00A20466" w:rsidP="00A20466">
      <w:pPr>
        <w:tabs>
          <w:tab w:val="num" w:pos="1800"/>
        </w:tabs>
        <w:ind w:left="1800" w:hanging="360"/>
      </w:pPr>
    </w:p>
    <w:p w:rsidR="00A20466" w:rsidRDefault="00A20466" w:rsidP="00A20466">
      <w:pPr>
        <w:numPr>
          <w:ilvl w:val="0"/>
          <w:numId w:val="13"/>
        </w:numPr>
        <w:tabs>
          <w:tab w:val="clear" w:pos="2340"/>
          <w:tab w:val="num" w:pos="1800"/>
        </w:tabs>
        <w:ind w:left="1800"/>
      </w:pPr>
      <w:r>
        <w:t>The proposed Zoning Code Amendment is internally consistent with other applicable provision of the Zoning Code because the amendment also includes revisions to the definitions related to housing to ensure internal consistency.</w:t>
      </w:r>
    </w:p>
    <w:p w:rsidR="00A20466" w:rsidRDefault="00A20466" w:rsidP="00A20466">
      <w:pPr>
        <w:pStyle w:val="FlushLeft"/>
        <w:spacing w:before="0"/>
        <w:rPr>
          <w:b/>
          <w:i/>
        </w:rPr>
      </w:pPr>
    </w:p>
    <w:p w:rsidR="00817645" w:rsidRDefault="00561865">
      <w:pPr>
        <w:pStyle w:val="FlushLeft"/>
        <w:spacing w:before="0" w:after="240"/>
      </w:pPr>
      <w:proofErr w:type="gramStart"/>
      <w:r w:rsidRPr="00561865">
        <w:rPr>
          <w:b/>
          <w:i/>
        </w:rPr>
        <w:t>Section 4.</w:t>
      </w:r>
      <w:proofErr w:type="gramEnd"/>
      <w:r>
        <w:t xml:space="preserve"> </w:t>
      </w:r>
      <w:r>
        <w:tab/>
      </w:r>
      <w:proofErr w:type="gramStart"/>
      <w:r w:rsidRPr="00561865">
        <w:rPr>
          <w:u w:val="single"/>
        </w:rPr>
        <w:t>Approval.</w:t>
      </w:r>
      <w:proofErr w:type="gramEnd"/>
      <w:r>
        <w:t xml:space="preserve"> Based on the findings contained in this Ordinance and all other evidence in the record of proceedings in this </w:t>
      </w:r>
      <w:r w:rsidR="00817645">
        <w:t>matter, the Town Council hereby:</w:t>
      </w:r>
    </w:p>
    <w:p w:rsidR="00817645" w:rsidRDefault="00817645" w:rsidP="00887C87">
      <w:pPr>
        <w:pStyle w:val="FlushLeft"/>
        <w:numPr>
          <w:ilvl w:val="0"/>
          <w:numId w:val="14"/>
        </w:numPr>
        <w:spacing w:before="0" w:after="240"/>
        <w:ind w:left="1800"/>
      </w:pPr>
      <w:r>
        <w:t xml:space="preserve">Rescinds </w:t>
      </w:r>
      <w:r>
        <w:rPr>
          <w:szCs w:val="24"/>
        </w:rPr>
        <w:t>Resolution 09-76 establishing an Interim Affordable Housing Mitigation Policy and rescinds Resolution 14-54 amending Resolution 09-76 upon the effective date of this Ordinance,</w:t>
      </w:r>
    </w:p>
    <w:p w:rsidR="00817645" w:rsidRDefault="00817645" w:rsidP="00887C87">
      <w:pPr>
        <w:pStyle w:val="FlushLeft"/>
        <w:numPr>
          <w:ilvl w:val="0"/>
          <w:numId w:val="14"/>
        </w:numPr>
        <w:spacing w:before="0" w:after="240"/>
        <w:ind w:left="1800"/>
      </w:pPr>
      <w:r>
        <w:t>A</w:t>
      </w:r>
      <w:r w:rsidR="00FA6188">
        <w:t xml:space="preserve">pproves Zoning Code Amendment 15-001, </w:t>
      </w:r>
    </w:p>
    <w:p w:rsidR="00817645" w:rsidRDefault="00817645" w:rsidP="00887C87">
      <w:pPr>
        <w:pStyle w:val="FlushLeft"/>
        <w:numPr>
          <w:ilvl w:val="0"/>
          <w:numId w:val="14"/>
        </w:numPr>
        <w:spacing w:before="0" w:after="240"/>
        <w:ind w:left="1800"/>
      </w:pPr>
      <w:r>
        <w:lastRenderedPageBreak/>
        <w:t>R</w:t>
      </w:r>
      <w:r w:rsidR="00FA6188">
        <w:t>epeals and restates</w:t>
      </w:r>
      <w:r w:rsidR="00561865">
        <w:t xml:space="preserve"> Chapter </w:t>
      </w:r>
      <w:r w:rsidR="00A20466">
        <w:t xml:space="preserve">17.136 </w:t>
      </w:r>
      <w:r w:rsidR="00561865">
        <w:t>of the Mammoth Lakes Municipal Code in its entirety to read as shown in attached Exhibit “A,” which is incorporated herein by this reference</w:t>
      </w:r>
      <w:r>
        <w:t>, and</w:t>
      </w:r>
    </w:p>
    <w:p w:rsidR="006373CC" w:rsidRDefault="00817645" w:rsidP="00887C87">
      <w:pPr>
        <w:pStyle w:val="FlushLeft"/>
        <w:numPr>
          <w:ilvl w:val="0"/>
          <w:numId w:val="14"/>
        </w:numPr>
        <w:spacing w:before="0" w:after="240"/>
        <w:ind w:left="1800"/>
      </w:pPr>
      <w:r>
        <w:t>A</w:t>
      </w:r>
      <w:r w:rsidR="00A20466">
        <w:t>mends Chapter 17.148 as shown in attached Exhibit “B,” which is incorporated herein by this reference</w:t>
      </w:r>
      <w:r>
        <w:t>.</w:t>
      </w:r>
    </w:p>
    <w:p w:rsidR="002435B2" w:rsidRDefault="006373CC">
      <w:pPr>
        <w:spacing w:after="240"/>
      </w:pPr>
      <w:proofErr w:type="gramStart"/>
      <w:r>
        <w:rPr>
          <w:b/>
          <w:i/>
        </w:rPr>
        <w:t xml:space="preserve">Section </w:t>
      </w:r>
      <w:r w:rsidR="00A530FB">
        <w:rPr>
          <w:b/>
          <w:i/>
        </w:rPr>
        <w:t>5</w:t>
      </w:r>
      <w:r w:rsidR="000E0A04" w:rsidRPr="00B95D1E">
        <w:rPr>
          <w:b/>
          <w:i/>
        </w:rPr>
        <w:t>.</w:t>
      </w:r>
      <w:proofErr w:type="gramEnd"/>
      <w:r w:rsidR="000E0A04" w:rsidRPr="00B95D1E">
        <w:rPr>
          <w:b/>
          <w:i/>
        </w:rPr>
        <w:t xml:space="preserve"> </w:t>
      </w:r>
      <w:r w:rsidR="000E0A04">
        <w:tab/>
      </w:r>
      <w:proofErr w:type="gramStart"/>
      <w:r w:rsidR="002435B2">
        <w:rPr>
          <w:u w:val="single"/>
        </w:rPr>
        <w:t>Severability</w:t>
      </w:r>
      <w:r w:rsidR="002435B2">
        <w:t>.</w:t>
      </w:r>
      <w:proofErr w:type="gramEnd"/>
      <w:r w:rsidR="002435B2">
        <w:t xml:space="preserve">  If any section, subsection, subdivision</w:t>
      </w:r>
      <w:r w:rsidR="001958DD">
        <w:t>, paragraph, sentence, clause or</w:t>
      </w:r>
      <w:r w:rsidR="002435B2">
        <w:t xml:space="preserve"> phrase in this Ordinance, or any part thereof, is held invalid or unconstitutional, </w:t>
      </w:r>
      <w:r w:rsidR="00B74EDA">
        <w:t xml:space="preserve">then </w:t>
      </w:r>
      <w:r w:rsidR="002435B2">
        <w:t xml:space="preserve">such decision shall not affect the validity of the remaining sections or portions of this Ordinance or part thereof.  The </w:t>
      </w:r>
      <w:r w:rsidR="00051F35">
        <w:t>Town</w:t>
      </w:r>
      <w:r w:rsidR="002435B2">
        <w:t xml:space="preserve"> Council hereby declares that it would have passed each section, subsection, subdivision, paragraph, sentence, clause or phrase of this Ordinance irrespective of the fact that any one or more sections, subdivisions, paragraphs, sentences, clauses or phrases may be declared invalid or unconstitutional.</w:t>
      </w:r>
    </w:p>
    <w:p w:rsidR="000E0A04" w:rsidRDefault="000E0A04">
      <w:pPr>
        <w:pStyle w:val="FlushLeft"/>
        <w:spacing w:before="0" w:after="240"/>
      </w:pPr>
      <w:proofErr w:type="gramStart"/>
      <w:r w:rsidRPr="00234DD7">
        <w:rPr>
          <w:b/>
          <w:i/>
        </w:rPr>
        <w:t xml:space="preserve">Section </w:t>
      </w:r>
      <w:r w:rsidR="00A530FB">
        <w:rPr>
          <w:b/>
          <w:i/>
        </w:rPr>
        <w:t>6</w:t>
      </w:r>
      <w:r w:rsidRPr="00234DD7">
        <w:rPr>
          <w:b/>
          <w:i/>
        </w:rPr>
        <w:t>.</w:t>
      </w:r>
      <w:proofErr w:type="gramEnd"/>
      <w:r>
        <w:t xml:space="preserve"> </w:t>
      </w:r>
      <w:r>
        <w:tab/>
      </w:r>
      <w:proofErr w:type="gramStart"/>
      <w:r w:rsidR="002435B2" w:rsidRPr="002435B2">
        <w:rPr>
          <w:u w:val="single"/>
        </w:rPr>
        <w:t>Effective Date</w:t>
      </w:r>
      <w:r w:rsidR="002435B2">
        <w:t>.</w:t>
      </w:r>
      <w:proofErr w:type="gramEnd"/>
      <w:r w:rsidR="002435B2">
        <w:t xml:space="preserve">  </w:t>
      </w:r>
      <w:r>
        <w:t xml:space="preserve">The Mayor shall sign and the </w:t>
      </w:r>
      <w:r w:rsidR="00051F35">
        <w:t>Town</w:t>
      </w:r>
      <w:r>
        <w:t xml:space="preserve"> Clerk shall certify passage and </w:t>
      </w:r>
      <w:r w:rsidR="002435B2">
        <w:t>adoption of this Ordinance, and</w:t>
      </w:r>
      <w:r>
        <w:t xml:space="preserve"> shall cause the same to be published and posted pursuant to the provisions of law in this regard, and this Ordinance shall take effect thirty days after its final passage. </w:t>
      </w:r>
    </w:p>
    <w:p w:rsidR="000E0A04" w:rsidRDefault="000E0A04">
      <w:pPr>
        <w:pStyle w:val="FlushLeft"/>
        <w:spacing w:before="0" w:after="240"/>
        <w:ind w:firstLine="720"/>
      </w:pPr>
      <w:r w:rsidRPr="0041655B">
        <w:rPr>
          <w:b/>
          <w:i/>
        </w:rPr>
        <w:t>ADOPTED, SIGNED</w:t>
      </w:r>
      <w:r>
        <w:t xml:space="preserve"> and </w:t>
      </w:r>
      <w:r w:rsidRPr="0041655B">
        <w:rPr>
          <w:b/>
          <w:i/>
        </w:rPr>
        <w:t>APPROVED</w:t>
      </w:r>
      <w:r>
        <w:t xml:space="preserve"> this </w:t>
      </w:r>
      <w:r w:rsidR="00B62C93">
        <w:t>3</w:t>
      </w:r>
      <w:r w:rsidR="00B62C93" w:rsidRPr="00B62C93">
        <w:rPr>
          <w:vertAlign w:val="superscript"/>
        </w:rPr>
        <w:t>rd</w:t>
      </w:r>
      <w:r w:rsidR="00B62C93">
        <w:t xml:space="preserve"> </w:t>
      </w:r>
      <w:r>
        <w:t>day of</w:t>
      </w:r>
      <w:r w:rsidR="00C034DD">
        <w:t xml:space="preserve"> </w:t>
      </w:r>
      <w:r w:rsidR="00B62C93">
        <w:t>June</w:t>
      </w:r>
      <w:r>
        <w:t>, 20</w:t>
      </w:r>
      <w:r w:rsidR="00DE18A3">
        <w:t>1</w:t>
      </w:r>
      <w:r w:rsidR="00B62C93">
        <w:t>5</w:t>
      </w:r>
      <w:r>
        <w:t xml:space="preserve">. </w:t>
      </w:r>
    </w:p>
    <w:p w:rsidR="000E0A04" w:rsidRDefault="00A978D1" w:rsidP="00AD45E2">
      <w:pPr>
        <w:pStyle w:val="FlushLeft"/>
        <w:spacing w:before="600"/>
        <w:ind w:left="5040"/>
      </w:pPr>
      <w:r>
        <w:t>______________________________</w:t>
      </w:r>
      <w:r>
        <w:br/>
      </w:r>
      <w:r w:rsidR="00B62C93">
        <w:t>Jo Bacon</w:t>
      </w:r>
      <w:r w:rsidR="00F76C5A">
        <w:t xml:space="preserve">, </w:t>
      </w:r>
      <w:r w:rsidR="000E0A04">
        <w:t xml:space="preserve">Mayor </w:t>
      </w:r>
    </w:p>
    <w:p w:rsidR="00F41325" w:rsidRDefault="00F41325" w:rsidP="00497AE4">
      <w:pPr>
        <w:pStyle w:val="FlushLeft"/>
      </w:pPr>
    </w:p>
    <w:p w:rsidR="00497AE4" w:rsidRDefault="000E0A04" w:rsidP="00497AE4">
      <w:pPr>
        <w:pStyle w:val="FlushLeft"/>
      </w:pPr>
      <w:r>
        <w:t xml:space="preserve">ATTEST: </w:t>
      </w:r>
    </w:p>
    <w:p w:rsidR="006373CC" w:rsidRDefault="006373CC" w:rsidP="00497AE4">
      <w:pPr>
        <w:pStyle w:val="FlushLeft"/>
      </w:pPr>
    </w:p>
    <w:p w:rsidR="00D538B4" w:rsidRDefault="00A978D1" w:rsidP="000E0A04">
      <w:pPr>
        <w:pStyle w:val="FlushLeft"/>
      </w:pPr>
      <w:r>
        <w:t>_______________________________</w:t>
      </w:r>
      <w:r>
        <w:br/>
      </w:r>
      <w:r w:rsidR="001958DD">
        <w:t>J</w:t>
      </w:r>
      <w:r w:rsidR="00C034DD">
        <w:t>AMIE GRAY</w:t>
      </w:r>
      <w:r w:rsidR="001958DD">
        <w:t xml:space="preserve">, </w:t>
      </w:r>
      <w:r w:rsidR="00051F35">
        <w:t>Town</w:t>
      </w:r>
      <w:r w:rsidR="000E0A04">
        <w:t xml:space="preserve"> Clerk </w:t>
      </w:r>
    </w:p>
    <w:p w:rsidR="005F6AAC" w:rsidRDefault="005F6AAC" w:rsidP="00561865">
      <w:pPr>
        <w:pStyle w:val="FlushLeft"/>
      </w:pPr>
      <w:r>
        <w:br w:type="page"/>
      </w:r>
    </w:p>
    <w:p w:rsidR="00D538B4" w:rsidRDefault="005F6AAC" w:rsidP="005F6AAC">
      <w:pPr>
        <w:pStyle w:val="FlushLeft"/>
        <w:jc w:val="center"/>
      </w:pPr>
      <w:r>
        <w:lastRenderedPageBreak/>
        <w:t>Exhibit “A”</w:t>
      </w:r>
    </w:p>
    <w:p w:rsidR="005F6AAC" w:rsidRDefault="00AD4D9F" w:rsidP="00AD4D9F">
      <w:pPr>
        <w:pStyle w:val="FlushLeft"/>
        <w:jc w:val="center"/>
      </w:pPr>
      <w:r>
        <w:t>Municipal Code Chapter 17.136</w:t>
      </w:r>
    </w:p>
    <w:p w:rsidR="00AD4D9F" w:rsidRDefault="00AD4D9F" w:rsidP="00AD4D9F">
      <w:pPr>
        <w:pStyle w:val="FlushLeft"/>
        <w:jc w:val="center"/>
      </w:pPr>
      <w:r>
        <w:t>Housing</w:t>
      </w:r>
    </w:p>
    <w:p w:rsidR="00CD73A6" w:rsidRDefault="00CD73A6" w:rsidP="00CD73A6">
      <w:pPr>
        <w:spacing w:before="22"/>
        <w:ind w:right="-20" w:firstLine="100"/>
      </w:pPr>
    </w:p>
    <w:p w:rsidR="00CD73A6" w:rsidRDefault="00CD73A6" w:rsidP="00CD73A6">
      <w:pPr>
        <w:spacing w:before="22"/>
        <w:ind w:right="-20" w:firstLine="100"/>
        <w:rPr>
          <w:sz w:val="28"/>
          <w:szCs w:val="28"/>
        </w:rPr>
      </w:pPr>
      <w:r>
        <w:rPr>
          <w:b/>
          <w:bCs/>
          <w:spacing w:val="5"/>
          <w:sz w:val="28"/>
          <w:szCs w:val="28"/>
        </w:rPr>
        <w:t>C</w:t>
      </w:r>
      <w:r>
        <w:rPr>
          <w:b/>
          <w:bCs/>
          <w:spacing w:val="-6"/>
          <w:sz w:val="28"/>
          <w:szCs w:val="28"/>
        </w:rPr>
        <w:t>h</w:t>
      </w:r>
      <w:r>
        <w:rPr>
          <w:b/>
          <w:bCs/>
          <w:sz w:val="28"/>
          <w:szCs w:val="28"/>
        </w:rPr>
        <w:t>a</w:t>
      </w:r>
      <w:r>
        <w:rPr>
          <w:b/>
          <w:bCs/>
          <w:spacing w:val="3"/>
          <w:sz w:val="28"/>
          <w:szCs w:val="28"/>
        </w:rPr>
        <w:t>p</w:t>
      </w:r>
      <w:r>
        <w:rPr>
          <w:b/>
          <w:bCs/>
          <w:spacing w:val="-1"/>
          <w:sz w:val="28"/>
          <w:szCs w:val="28"/>
        </w:rPr>
        <w:t>t</w:t>
      </w:r>
      <w:r>
        <w:rPr>
          <w:b/>
          <w:bCs/>
          <w:spacing w:val="1"/>
          <w:sz w:val="28"/>
          <w:szCs w:val="28"/>
        </w:rPr>
        <w:t>e</w:t>
      </w:r>
      <w:r>
        <w:rPr>
          <w:b/>
          <w:bCs/>
          <w:sz w:val="28"/>
          <w:szCs w:val="28"/>
        </w:rPr>
        <w:t>r</w:t>
      </w:r>
      <w:r>
        <w:rPr>
          <w:b/>
          <w:bCs/>
          <w:spacing w:val="-7"/>
          <w:sz w:val="28"/>
          <w:szCs w:val="28"/>
        </w:rPr>
        <w:t xml:space="preserve"> </w:t>
      </w:r>
      <w:r>
        <w:rPr>
          <w:b/>
          <w:bCs/>
          <w:sz w:val="28"/>
          <w:szCs w:val="28"/>
        </w:rPr>
        <w:t>17</w:t>
      </w:r>
      <w:r>
        <w:rPr>
          <w:b/>
          <w:bCs/>
          <w:spacing w:val="2"/>
          <w:sz w:val="28"/>
          <w:szCs w:val="28"/>
        </w:rPr>
        <w:t>.</w:t>
      </w:r>
      <w:r>
        <w:rPr>
          <w:b/>
          <w:bCs/>
          <w:sz w:val="28"/>
          <w:szCs w:val="28"/>
        </w:rPr>
        <w:t>136</w:t>
      </w:r>
      <w:r>
        <w:rPr>
          <w:b/>
          <w:bCs/>
          <w:spacing w:val="-3"/>
          <w:sz w:val="28"/>
          <w:szCs w:val="28"/>
        </w:rPr>
        <w:t xml:space="preserve"> </w:t>
      </w:r>
      <w:r>
        <w:rPr>
          <w:b/>
          <w:bCs/>
          <w:sz w:val="28"/>
          <w:szCs w:val="28"/>
        </w:rPr>
        <w:t>-</w:t>
      </w:r>
      <w:r>
        <w:rPr>
          <w:b/>
          <w:bCs/>
          <w:spacing w:val="-1"/>
          <w:sz w:val="28"/>
          <w:szCs w:val="28"/>
        </w:rPr>
        <w:t xml:space="preserve"> </w:t>
      </w:r>
      <w:r>
        <w:rPr>
          <w:b/>
          <w:bCs/>
          <w:sz w:val="28"/>
          <w:szCs w:val="28"/>
        </w:rPr>
        <w:t>Ho</w:t>
      </w:r>
      <w:r>
        <w:rPr>
          <w:b/>
          <w:bCs/>
          <w:spacing w:val="-2"/>
          <w:sz w:val="28"/>
          <w:szCs w:val="28"/>
        </w:rPr>
        <w:t>u</w:t>
      </w:r>
      <w:r>
        <w:rPr>
          <w:b/>
          <w:bCs/>
          <w:spacing w:val="2"/>
          <w:sz w:val="28"/>
          <w:szCs w:val="28"/>
        </w:rPr>
        <w:t>s</w:t>
      </w:r>
      <w:r>
        <w:rPr>
          <w:b/>
          <w:bCs/>
          <w:spacing w:val="4"/>
          <w:sz w:val="28"/>
          <w:szCs w:val="28"/>
        </w:rPr>
        <w:t>i</w:t>
      </w:r>
      <w:r>
        <w:rPr>
          <w:b/>
          <w:bCs/>
          <w:spacing w:val="-6"/>
          <w:sz w:val="28"/>
          <w:szCs w:val="28"/>
        </w:rPr>
        <w:t>n</w:t>
      </w:r>
      <w:r>
        <w:rPr>
          <w:b/>
          <w:bCs/>
          <w:sz w:val="28"/>
          <w:szCs w:val="28"/>
        </w:rPr>
        <w:t>g</w:t>
      </w:r>
    </w:p>
    <w:p w:rsidR="00CD73A6" w:rsidRPr="00853316" w:rsidRDefault="00CD73A6" w:rsidP="00CD73A6">
      <w:pPr>
        <w:spacing w:before="13" w:line="260" w:lineRule="exact"/>
        <w:rPr>
          <w:sz w:val="26"/>
          <w:szCs w:val="26"/>
        </w:rPr>
      </w:pPr>
    </w:p>
    <w:p w:rsidR="00CD73A6" w:rsidRPr="00853316" w:rsidRDefault="00CD73A6" w:rsidP="00CD73A6">
      <w:pPr>
        <w:ind w:left="100" w:right="-20"/>
        <w:rPr>
          <w:szCs w:val="24"/>
        </w:rPr>
      </w:pPr>
      <w:r w:rsidRPr="00853316">
        <w:rPr>
          <w:szCs w:val="24"/>
        </w:rPr>
        <w:t>17</w:t>
      </w:r>
      <w:r w:rsidRPr="00853316">
        <w:rPr>
          <w:spacing w:val="2"/>
          <w:szCs w:val="24"/>
        </w:rPr>
        <w:t>.</w:t>
      </w:r>
      <w:r w:rsidRPr="00853316">
        <w:rPr>
          <w:szCs w:val="24"/>
        </w:rPr>
        <w:t>136</w:t>
      </w:r>
      <w:r w:rsidRPr="00853316">
        <w:rPr>
          <w:spacing w:val="2"/>
          <w:szCs w:val="24"/>
        </w:rPr>
        <w:t>.</w:t>
      </w:r>
      <w:r w:rsidRPr="00853316">
        <w:rPr>
          <w:szCs w:val="24"/>
        </w:rPr>
        <w:t>010</w:t>
      </w:r>
      <w:r w:rsidRPr="00853316">
        <w:rPr>
          <w:spacing w:val="-1"/>
          <w:szCs w:val="24"/>
        </w:rPr>
        <w:t xml:space="preserve"> </w:t>
      </w:r>
      <w:r w:rsidRPr="00853316">
        <w:rPr>
          <w:szCs w:val="24"/>
        </w:rPr>
        <w:t>-</w:t>
      </w:r>
      <w:r w:rsidRPr="00853316">
        <w:rPr>
          <w:spacing w:val="-1"/>
          <w:szCs w:val="24"/>
        </w:rPr>
        <w:t xml:space="preserve"> </w:t>
      </w:r>
      <w:r w:rsidRPr="00853316">
        <w:rPr>
          <w:spacing w:val="1"/>
          <w:szCs w:val="24"/>
        </w:rPr>
        <w:t>P</w:t>
      </w:r>
      <w:r w:rsidRPr="00853316">
        <w:rPr>
          <w:szCs w:val="24"/>
        </w:rPr>
        <w:t>u</w:t>
      </w:r>
      <w:r w:rsidRPr="00853316">
        <w:rPr>
          <w:spacing w:val="1"/>
          <w:szCs w:val="24"/>
        </w:rPr>
        <w:t>r</w:t>
      </w:r>
      <w:r w:rsidRPr="00853316">
        <w:rPr>
          <w:spacing w:val="-5"/>
          <w:szCs w:val="24"/>
        </w:rPr>
        <w:t>p</w:t>
      </w:r>
      <w:r w:rsidRPr="00853316">
        <w:rPr>
          <w:spacing w:val="5"/>
          <w:szCs w:val="24"/>
        </w:rPr>
        <w:t>o</w:t>
      </w:r>
      <w:r w:rsidRPr="00853316">
        <w:rPr>
          <w:spacing w:val="-2"/>
          <w:szCs w:val="24"/>
        </w:rPr>
        <w:t>s</w:t>
      </w:r>
      <w:r w:rsidRPr="00853316">
        <w:rPr>
          <w:szCs w:val="24"/>
        </w:rPr>
        <w:t>e</w:t>
      </w:r>
      <w:r w:rsidRPr="00853316">
        <w:rPr>
          <w:spacing w:val="-3"/>
          <w:szCs w:val="24"/>
        </w:rPr>
        <w:t xml:space="preserve"> </w:t>
      </w:r>
      <w:r w:rsidRPr="00853316">
        <w:rPr>
          <w:spacing w:val="5"/>
          <w:szCs w:val="24"/>
        </w:rPr>
        <w:t>o</w:t>
      </w:r>
      <w:r w:rsidRPr="00853316">
        <w:rPr>
          <w:szCs w:val="24"/>
        </w:rPr>
        <w:t>f</w:t>
      </w:r>
      <w:r w:rsidRPr="00853316">
        <w:rPr>
          <w:spacing w:val="-6"/>
          <w:szCs w:val="24"/>
        </w:rPr>
        <w:t xml:space="preserve"> </w:t>
      </w:r>
      <w:r w:rsidRPr="00853316">
        <w:rPr>
          <w:spacing w:val="3"/>
          <w:szCs w:val="24"/>
        </w:rPr>
        <w:t>C</w:t>
      </w:r>
      <w:r w:rsidRPr="00853316">
        <w:rPr>
          <w:spacing w:val="-5"/>
          <w:szCs w:val="24"/>
        </w:rPr>
        <w:t>h</w:t>
      </w:r>
      <w:r w:rsidRPr="00853316">
        <w:rPr>
          <w:spacing w:val="-1"/>
          <w:szCs w:val="24"/>
        </w:rPr>
        <w:t>a</w:t>
      </w:r>
      <w:r w:rsidRPr="00853316">
        <w:rPr>
          <w:szCs w:val="24"/>
        </w:rPr>
        <w:t>p</w:t>
      </w:r>
      <w:r w:rsidRPr="00853316">
        <w:rPr>
          <w:spacing w:val="5"/>
          <w:szCs w:val="24"/>
        </w:rPr>
        <w:t>t</w:t>
      </w:r>
      <w:r w:rsidRPr="00853316">
        <w:rPr>
          <w:spacing w:val="-1"/>
          <w:szCs w:val="24"/>
        </w:rPr>
        <w:t>e</w:t>
      </w:r>
      <w:r w:rsidRPr="00853316">
        <w:rPr>
          <w:szCs w:val="24"/>
        </w:rPr>
        <w:t>r</w:t>
      </w:r>
    </w:p>
    <w:p w:rsidR="00CD73A6" w:rsidRPr="00853316" w:rsidRDefault="00CD73A6" w:rsidP="00CD73A6">
      <w:pPr>
        <w:spacing w:line="274" w:lineRule="exact"/>
        <w:ind w:left="100" w:right="-20"/>
        <w:rPr>
          <w:szCs w:val="24"/>
        </w:rPr>
      </w:pPr>
      <w:r w:rsidRPr="00853316">
        <w:rPr>
          <w:szCs w:val="24"/>
        </w:rPr>
        <w:t>17</w:t>
      </w:r>
      <w:r w:rsidRPr="00853316">
        <w:rPr>
          <w:spacing w:val="2"/>
          <w:szCs w:val="24"/>
        </w:rPr>
        <w:t>.</w:t>
      </w:r>
      <w:r w:rsidRPr="00853316">
        <w:rPr>
          <w:szCs w:val="24"/>
        </w:rPr>
        <w:t>136</w:t>
      </w:r>
      <w:r w:rsidRPr="00853316">
        <w:rPr>
          <w:spacing w:val="2"/>
          <w:szCs w:val="24"/>
        </w:rPr>
        <w:t>.</w:t>
      </w:r>
      <w:r w:rsidRPr="00853316">
        <w:rPr>
          <w:szCs w:val="24"/>
        </w:rPr>
        <w:t>020</w:t>
      </w:r>
      <w:r w:rsidRPr="00853316">
        <w:rPr>
          <w:spacing w:val="-1"/>
          <w:szCs w:val="24"/>
        </w:rPr>
        <w:t xml:space="preserve"> </w:t>
      </w:r>
      <w:r w:rsidRPr="00853316">
        <w:rPr>
          <w:szCs w:val="24"/>
        </w:rPr>
        <w:t>-</w:t>
      </w:r>
      <w:r w:rsidRPr="00853316">
        <w:rPr>
          <w:spacing w:val="4"/>
          <w:szCs w:val="24"/>
        </w:rPr>
        <w:t xml:space="preserve"> </w:t>
      </w:r>
      <w:r w:rsidRPr="00853316">
        <w:rPr>
          <w:spacing w:val="-5"/>
          <w:szCs w:val="24"/>
        </w:rPr>
        <w:t>Applicability</w:t>
      </w:r>
    </w:p>
    <w:p w:rsidR="00CD73A6" w:rsidRPr="00853316" w:rsidRDefault="00CD73A6" w:rsidP="00CD73A6">
      <w:pPr>
        <w:spacing w:before="2"/>
        <w:ind w:left="1440" w:right="-20" w:hanging="1340"/>
        <w:rPr>
          <w:szCs w:val="24"/>
        </w:rPr>
      </w:pPr>
      <w:r w:rsidRPr="00853316">
        <w:rPr>
          <w:szCs w:val="24"/>
        </w:rPr>
        <w:t>17</w:t>
      </w:r>
      <w:r w:rsidRPr="00853316">
        <w:rPr>
          <w:spacing w:val="2"/>
          <w:szCs w:val="24"/>
        </w:rPr>
        <w:t>.</w:t>
      </w:r>
      <w:r w:rsidRPr="00853316">
        <w:rPr>
          <w:szCs w:val="24"/>
        </w:rPr>
        <w:t>136</w:t>
      </w:r>
      <w:r w:rsidRPr="00853316">
        <w:rPr>
          <w:spacing w:val="2"/>
          <w:szCs w:val="24"/>
        </w:rPr>
        <w:t>.</w:t>
      </w:r>
      <w:r w:rsidRPr="00853316">
        <w:rPr>
          <w:szCs w:val="24"/>
        </w:rPr>
        <w:t>030</w:t>
      </w:r>
      <w:r w:rsidRPr="00853316">
        <w:rPr>
          <w:spacing w:val="-1"/>
          <w:szCs w:val="24"/>
        </w:rPr>
        <w:t xml:space="preserve"> </w:t>
      </w:r>
      <w:r w:rsidRPr="00853316">
        <w:rPr>
          <w:szCs w:val="24"/>
        </w:rPr>
        <w:t>-</w:t>
      </w:r>
      <w:r w:rsidRPr="00853316">
        <w:rPr>
          <w:spacing w:val="4"/>
          <w:szCs w:val="24"/>
        </w:rPr>
        <w:t xml:space="preserve"> </w:t>
      </w:r>
      <w:r w:rsidRPr="00853316">
        <w:rPr>
          <w:szCs w:val="24"/>
        </w:rPr>
        <w:t xml:space="preserve">Housing Mitigation </w:t>
      </w:r>
      <w:r>
        <w:rPr>
          <w:szCs w:val="24"/>
        </w:rPr>
        <w:t xml:space="preserve">Required for Incremental New Demand and </w:t>
      </w:r>
      <w:r w:rsidRPr="00853316">
        <w:rPr>
          <w:szCs w:val="24"/>
        </w:rPr>
        <w:t>Credit</w:t>
      </w:r>
    </w:p>
    <w:p w:rsidR="00CD73A6" w:rsidRPr="00853316" w:rsidRDefault="00CD73A6" w:rsidP="00CD73A6">
      <w:pPr>
        <w:spacing w:line="274" w:lineRule="exact"/>
        <w:ind w:left="100" w:right="-20"/>
        <w:rPr>
          <w:szCs w:val="24"/>
        </w:rPr>
      </w:pPr>
      <w:r w:rsidRPr="00853316">
        <w:rPr>
          <w:szCs w:val="24"/>
        </w:rPr>
        <w:t>17</w:t>
      </w:r>
      <w:r w:rsidRPr="00853316">
        <w:rPr>
          <w:spacing w:val="2"/>
          <w:szCs w:val="24"/>
        </w:rPr>
        <w:t>.</w:t>
      </w:r>
      <w:r w:rsidRPr="00853316">
        <w:rPr>
          <w:szCs w:val="24"/>
        </w:rPr>
        <w:t>136</w:t>
      </w:r>
      <w:r w:rsidRPr="00853316">
        <w:rPr>
          <w:spacing w:val="2"/>
          <w:szCs w:val="24"/>
        </w:rPr>
        <w:t>.</w:t>
      </w:r>
      <w:r w:rsidRPr="00853316">
        <w:rPr>
          <w:szCs w:val="24"/>
        </w:rPr>
        <w:t>040</w:t>
      </w:r>
      <w:r w:rsidRPr="00853316">
        <w:rPr>
          <w:spacing w:val="-1"/>
          <w:szCs w:val="24"/>
        </w:rPr>
        <w:t xml:space="preserve"> </w:t>
      </w:r>
      <w:r w:rsidRPr="00853316">
        <w:rPr>
          <w:szCs w:val="24"/>
        </w:rPr>
        <w:t>-</w:t>
      </w:r>
      <w:r w:rsidRPr="00853316">
        <w:rPr>
          <w:spacing w:val="4"/>
          <w:szCs w:val="24"/>
        </w:rPr>
        <w:t xml:space="preserve"> </w:t>
      </w:r>
      <w:r w:rsidRPr="00853316">
        <w:rPr>
          <w:spacing w:val="-5"/>
          <w:szCs w:val="24"/>
        </w:rPr>
        <w:t>H</w:t>
      </w:r>
      <w:r w:rsidRPr="00853316">
        <w:rPr>
          <w:spacing w:val="5"/>
          <w:szCs w:val="24"/>
        </w:rPr>
        <w:t>o</w:t>
      </w:r>
      <w:r w:rsidRPr="00853316">
        <w:rPr>
          <w:szCs w:val="24"/>
        </w:rPr>
        <w:t>u</w:t>
      </w:r>
      <w:r w:rsidRPr="00853316">
        <w:rPr>
          <w:spacing w:val="-2"/>
          <w:szCs w:val="24"/>
        </w:rPr>
        <w:t>s</w:t>
      </w:r>
      <w:r w:rsidRPr="00853316">
        <w:rPr>
          <w:spacing w:val="-4"/>
          <w:szCs w:val="24"/>
        </w:rPr>
        <w:t>i</w:t>
      </w:r>
      <w:r w:rsidRPr="00853316">
        <w:rPr>
          <w:spacing w:val="-5"/>
          <w:szCs w:val="24"/>
        </w:rPr>
        <w:t>n</w:t>
      </w:r>
      <w:r w:rsidRPr="00853316">
        <w:rPr>
          <w:szCs w:val="24"/>
        </w:rPr>
        <w:t>g</w:t>
      </w:r>
      <w:r w:rsidRPr="00853316">
        <w:rPr>
          <w:spacing w:val="2"/>
          <w:szCs w:val="24"/>
        </w:rPr>
        <w:t xml:space="preserve"> </w:t>
      </w:r>
      <w:r w:rsidRPr="00853316">
        <w:rPr>
          <w:spacing w:val="6"/>
          <w:szCs w:val="24"/>
        </w:rPr>
        <w:t>I</w:t>
      </w:r>
      <w:r w:rsidRPr="00853316">
        <w:rPr>
          <w:spacing w:val="-9"/>
          <w:szCs w:val="24"/>
        </w:rPr>
        <w:t>m</w:t>
      </w:r>
      <w:r w:rsidRPr="00853316">
        <w:rPr>
          <w:szCs w:val="24"/>
        </w:rPr>
        <w:t>p</w:t>
      </w:r>
      <w:r w:rsidRPr="00853316">
        <w:rPr>
          <w:spacing w:val="-1"/>
          <w:szCs w:val="24"/>
        </w:rPr>
        <w:t>ac</w:t>
      </w:r>
      <w:r w:rsidRPr="00853316">
        <w:rPr>
          <w:szCs w:val="24"/>
        </w:rPr>
        <w:t>t</w:t>
      </w:r>
      <w:r w:rsidRPr="00853316">
        <w:rPr>
          <w:spacing w:val="7"/>
          <w:szCs w:val="24"/>
        </w:rPr>
        <w:t xml:space="preserve"> </w:t>
      </w:r>
      <w:r w:rsidRPr="00853316">
        <w:rPr>
          <w:spacing w:val="2"/>
          <w:szCs w:val="24"/>
        </w:rPr>
        <w:t>M</w:t>
      </w:r>
      <w:r w:rsidRPr="00853316">
        <w:rPr>
          <w:spacing w:val="-9"/>
          <w:szCs w:val="24"/>
        </w:rPr>
        <w:t>i</w:t>
      </w:r>
      <w:r w:rsidRPr="00853316">
        <w:rPr>
          <w:spacing w:val="10"/>
          <w:szCs w:val="24"/>
        </w:rPr>
        <w:t>t</w:t>
      </w:r>
      <w:r w:rsidRPr="00853316">
        <w:rPr>
          <w:spacing w:val="-9"/>
          <w:szCs w:val="24"/>
        </w:rPr>
        <w:t>i</w:t>
      </w:r>
      <w:r w:rsidRPr="00853316">
        <w:rPr>
          <w:szCs w:val="24"/>
        </w:rPr>
        <w:t>g</w:t>
      </w:r>
      <w:r w:rsidRPr="00853316">
        <w:rPr>
          <w:spacing w:val="-1"/>
          <w:szCs w:val="24"/>
        </w:rPr>
        <w:t>a</w:t>
      </w:r>
      <w:r w:rsidRPr="00853316">
        <w:rPr>
          <w:spacing w:val="10"/>
          <w:szCs w:val="24"/>
        </w:rPr>
        <w:t>t</w:t>
      </w:r>
      <w:r w:rsidRPr="00853316">
        <w:rPr>
          <w:spacing w:val="-9"/>
          <w:szCs w:val="24"/>
        </w:rPr>
        <w:t>i</w:t>
      </w:r>
      <w:r w:rsidRPr="00853316">
        <w:rPr>
          <w:spacing w:val="5"/>
          <w:szCs w:val="24"/>
        </w:rPr>
        <w:t>o</w:t>
      </w:r>
      <w:r w:rsidRPr="00853316">
        <w:rPr>
          <w:szCs w:val="24"/>
        </w:rPr>
        <w:t>n</w:t>
      </w:r>
      <w:r w:rsidRPr="00853316">
        <w:rPr>
          <w:spacing w:val="-3"/>
          <w:szCs w:val="24"/>
        </w:rPr>
        <w:t xml:space="preserve"> </w:t>
      </w:r>
      <w:r w:rsidRPr="00853316">
        <w:rPr>
          <w:spacing w:val="-4"/>
          <w:szCs w:val="24"/>
        </w:rPr>
        <w:t>F</w:t>
      </w:r>
      <w:r w:rsidRPr="00853316">
        <w:rPr>
          <w:spacing w:val="4"/>
          <w:szCs w:val="24"/>
        </w:rPr>
        <w:t>e</w:t>
      </w:r>
      <w:r w:rsidRPr="00853316">
        <w:rPr>
          <w:spacing w:val="-1"/>
          <w:szCs w:val="24"/>
        </w:rPr>
        <w:t>e</w:t>
      </w:r>
      <w:r w:rsidRPr="00853316">
        <w:rPr>
          <w:szCs w:val="24"/>
        </w:rPr>
        <w:t>s</w:t>
      </w:r>
    </w:p>
    <w:p w:rsidR="00CD73A6" w:rsidRPr="00853316" w:rsidRDefault="00CD73A6" w:rsidP="00CD73A6">
      <w:pPr>
        <w:spacing w:before="2"/>
        <w:ind w:left="100" w:right="-20"/>
        <w:rPr>
          <w:szCs w:val="24"/>
        </w:rPr>
      </w:pPr>
      <w:r w:rsidRPr="00853316">
        <w:rPr>
          <w:szCs w:val="24"/>
        </w:rPr>
        <w:t>17</w:t>
      </w:r>
      <w:r w:rsidRPr="00853316">
        <w:rPr>
          <w:spacing w:val="2"/>
          <w:szCs w:val="24"/>
        </w:rPr>
        <w:t>.</w:t>
      </w:r>
      <w:r w:rsidRPr="00853316">
        <w:rPr>
          <w:szCs w:val="24"/>
        </w:rPr>
        <w:t>136</w:t>
      </w:r>
      <w:r w:rsidRPr="00853316">
        <w:rPr>
          <w:spacing w:val="2"/>
          <w:szCs w:val="24"/>
        </w:rPr>
        <w:t>.</w:t>
      </w:r>
      <w:r w:rsidRPr="00853316">
        <w:rPr>
          <w:szCs w:val="24"/>
        </w:rPr>
        <w:t>050</w:t>
      </w:r>
      <w:r w:rsidRPr="00853316">
        <w:rPr>
          <w:spacing w:val="-1"/>
          <w:szCs w:val="24"/>
        </w:rPr>
        <w:t xml:space="preserve"> </w:t>
      </w:r>
      <w:r w:rsidRPr="00853316">
        <w:rPr>
          <w:szCs w:val="24"/>
        </w:rPr>
        <w:t>-</w:t>
      </w:r>
      <w:r w:rsidRPr="00853316">
        <w:rPr>
          <w:spacing w:val="-1"/>
          <w:szCs w:val="24"/>
        </w:rPr>
        <w:t xml:space="preserve"> </w:t>
      </w:r>
      <w:r w:rsidRPr="00853316">
        <w:rPr>
          <w:szCs w:val="24"/>
        </w:rPr>
        <w:t>On-Site Provision of Units</w:t>
      </w:r>
    </w:p>
    <w:p w:rsidR="00CD73A6" w:rsidRPr="00853316" w:rsidRDefault="00CD73A6" w:rsidP="00CD73A6">
      <w:pPr>
        <w:spacing w:line="274" w:lineRule="exact"/>
        <w:ind w:left="100" w:right="-20"/>
        <w:rPr>
          <w:szCs w:val="24"/>
        </w:rPr>
      </w:pPr>
      <w:r w:rsidRPr="00853316">
        <w:rPr>
          <w:szCs w:val="24"/>
        </w:rPr>
        <w:t>17</w:t>
      </w:r>
      <w:r w:rsidRPr="00853316">
        <w:rPr>
          <w:spacing w:val="2"/>
          <w:szCs w:val="24"/>
        </w:rPr>
        <w:t>.</w:t>
      </w:r>
      <w:r w:rsidRPr="00853316">
        <w:rPr>
          <w:szCs w:val="24"/>
        </w:rPr>
        <w:t>136</w:t>
      </w:r>
      <w:r w:rsidRPr="00853316">
        <w:rPr>
          <w:spacing w:val="2"/>
          <w:szCs w:val="24"/>
        </w:rPr>
        <w:t>.</w:t>
      </w:r>
      <w:r w:rsidRPr="00853316">
        <w:rPr>
          <w:szCs w:val="24"/>
        </w:rPr>
        <w:t>060</w:t>
      </w:r>
      <w:r w:rsidRPr="00853316">
        <w:rPr>
          <w:spacing w:val="-1"/>
          <w:szCs w:val="24"/>
        </w:rPr>
        <w:t xml:space="preserve"> </w:t>
      </w:r>
      <w:r w:rsidRPr="00853316">
        <w:rPr>
          <w:szCs w:val="24"/>
        </w:rPr>
        <w:t>-</w:t>
      </w:r>
      <w:r w:rsidRPr="00853316">
        <w:rPr>
          <w:spacing w:val="4"/>
          <w:szCs w:val="24"/>
        </w:rPr>
        <w:t xml:space="preserve"> </w:t>
      </w:r>
      <w:r w:rsidRPr="00853316">
        <w:rPr>
          <w:szCs w:val="24"/>
        </w:rPr>
        <w:t xml:space="preserve">Off-Site Provision of Units </w:t>
      </w:r>
    </w:p>
    <w:p w:rsidR="00CD73A6" w:rsidRPr="00853316" w:rsidRDefault="00CD73A6" w:rsidP="00CD73A6">
      <w:pPr>
        <w:spacing w:line="274" w:lineRule="exact"/>
        <w:ind w:left="100" w:right="-20"/>
        <w:rPr>
          <w:szCs w:val="24"/>
        </w:rPr>
      </w:pPr>
      <w:r w:rsidRPr="00853316">
        <w:rPr>
          <w:szCs w:val="24"/>
        </w:rPr>
        <w:t>17</w:t>
      </w:r>
      <w:r w:rsidRPr="00853316">
        <w:rPr>
          <w:spacing w:val="2"/>
          <w:szCs w:val="24"/>
        </w:rPr>
        <w:t>.</w:t>
      </w:r>
      <w:r w:rsidRPr="00853316">
        <w:rPr>
          <w:szCs w:val="24"/>
        </w:rPr>
        <w:t>136</w:t>
      </w:r>
      <w:r w:rsidRPr="00853316">
        <w:rPr>
          <w:spacing w:val="2"/>
          <w:szCs w:val="24"/>
        </w:rPr>
        <w:t>.</w:t>
      </w:r>
      <w:r w:rsidRPr="00853316">
        <w:rPr>
          <w:szCs w:val="24"/>
        </w:rPr>
        <w:t>070</w:t>
      </w:r>
      <w:r w:rsidRPr="00853316">
        <w:rPr>
          <w:spacing w:val="-1"/>
          <w:szCs w:val="24"/>
        </w:rPr>
        <w:t xml:space="preserve"> </w:t>
      </w:r>
      <w:r w:rsidRPr="00853316">
        <w:rPr>
          <w:szCs w:val="24"/>
        </w:rPr>
        <w:t>-</w:t>
      </w:r>
      <w:r w:rsidRPr="00853316">
        <w:rPr>
          <w:spacing w:val="4"/>
          <w:szCs w:val="24"/>
        </w:rPr>
        <w:t xml:space="preserve"> </w:t>
      </w:r>
      <w:r w:rsidRPr="00853316">
        <w:rPr>
          <w:szCs w:val="24"/>
        </w:rPr>
        <w:t>Conveyance of Land</w:t>
      </w:r>
    </w:p>
    <w:p w:rsidR="00CD73A6" w:rsidRPr="00853316" w:rsidRDefault="00CD73A6" w:rsidP="00CD73A6">
      <w:pPr>
        <w:spacing w:line="274" w:lineRule="exact"/>
        <w:ind w:left="100" w:right="-20"/>
        <w:rPr>
          <w:szCs w:val="24"/>
        </w:rPr>
      </w:pPr>
      <w:r w:rsidRPr="00853316">
        <w:rPr>
          <w:szCs w:val="24"/>
        </w:rPr>
        <w:t>17</w:t>
      </w:r>
      <w:r w:rsidRPr="00853316">
        <w:rPr>
          <w:spacing w:val="2"/>
          <w:szCs w:val="24"/>
        </w:rPr>
        <w:t>.</w:t>
      </w:r>
      <w:r w:rsidRPr="00853316">
        <w:rPr>
          <w:szCs w:val="24"/>
        </w:rPr>
        <w:t>136</w:t>
      </w:r>
      <w:r w:rsidRPr="00853316">
        <w:rPr>
          <w:spacing w:val="2"/>
          <w:szCs w:val="24"/>
        </w:rPr>
        <w:t>.</w:t>
      </w:r>
      <w:r w:rsidRPr="00853316">
        <w:rPr>
          <w:szCs w:val="24"/>
        </w:rPr>
        <w:t>080</w:t>
      </w:r>
      <w:r w:rsidRPr="00853316">
        <w:rPr>
          <w:spacing w:val="-1"/>
          <w:szCs w:val="24"/>
        </w:rPr>
        <w:t xml:space="preserve"> </w:t>
      </w:r>
      <w:r w:rsidRPr="00853316">
        <w:rPr>
          <w:szCs w:val="24"/>
        </w:rPr>
        <w:t>-</w:t>
      </w:r>
      <w:r w:rsidRPr="00853316">
        <w:rPr>
          <w:spacing w:val="-1"/>
          <w:szCs w:val="24"/>
        </w:rPr>
        <w:t xml:space="preserve"> </w:t>
      </w:r>
      <w:r w:rsidRPr="00853316">
        <w:rPr>
          <w:szCs w:val="24"/>
        </w:rPr>
        <w:t>Alternate Housing Mitigation Plan</w:t>
      </w:r>
    </w:p>
    <w:p w:rsidR="00CD73A6" w:rsidRPr="00853316" w:rsidRDefault="00CD73A6" w:rsidP="00CD73A6">
      <w:pPr>
        <w:spacing w:before="2"/>
        <w:ind w:left="100" w:right="-20"/>
        <w:rPr>
          <w:szCs w:val="24"/>
        </w:rPr>
      </w:pPr>
      <w:r w:rsidRPr="00853316">
        <w:rPr>
          <w:szCs w:val="24"/>
        </w:rPr>
        <w:t>17</w:t>
      </w:r>
      <w:r w:rsidRPr="00853316">
        <w:rPr>
          <w:spacing w:val="2"/>
          <w:szCs w:val="24"/>
        </w:rPr>
        <w:t>.</w:t>
      </w:r>
      <w:r w:rsidRPr="00853316">
        <w:rPr>
          <w:szCs w:val="24"/>
        </w:rPr>
        <w:t>136</w:t>
      </w:r>
      <w:r w:rsidRPr="00853316">
        <w:rPr>
          <w:spacing w:val="2"/>
          <w:szCs w:val="24"/>
        </w:rPr>
        <w:t>.</w:t>
      </w:r>
      <w:r w:rsidRPr="00853316">
        <w:rPr>
          <w:szCs w:val="24"/>
        </w:rPr>
        <w:t>090</w:t>
      </w:r>
      <w:r w:rsidRPr="00853316">
        <w:rPr>
          <w:spacing w:val="-1"/>
          <w:szCs w:val="24"/>
        </w:rPr>
        <w:t xml:space="preserve"> </w:t>
      </w:r>
      <w:r w:rsidRPr="00853316">
        <w:rPr>
          <w:szCs w:val="24"/>
        </w:rPr>
        <w:t>-</w:t>
      </w:r>
      <w:r w:rsidRPr="00853316">
        <w:rPr>
          <w:spacing w:val="4"/>
          <w:szCs w:val="24"/>
        </w:rPr>
        <w:t xml:space="preserve"> </w:t>
      </w:r>
      <w:r w:rsidRPr="00853316">
        <w:rPr>
          <w:szCs w:val="24"/>
        </w:rPr>
        <w:t>Residential Projects: Rental permitted if consistent with Costa Hawkins Act</w:t>
      </w:r>
    </w:p>
    <w:p w:rsidR="00CD73A6" w:rsidRPr="00853316" w:rsidRDefault="00CD73A6" w:rsidP="00CD73A6">
      <w:pPr>
        <w:ind w:firstLine="100"/>
        <w:rPr>
          <w:szCs w:val="24"/>
        </w:rPr>
      </w:pPr>
      <w:r w:rsidRPr="00853316">
        <w:rPr>
          <w:szCs w:val="24"/>
        </w:rPr>
        <w:t>17</w:t>
      </w:r>
      <w:r w:rsidRPr="00853316">
        <w:rPr>
          <w:spacing w:val="2"/>
          <w:szCs w:val="24"/>
        </w:rPr>
        <w:t>.</w:t>
      </w:r>
      <w:r w:rsidRPr="00853316">
        <w:rPr>
          <w:szCs w:val="24"/>
        </w:rPr>
        <w:t>136</w:t>
      </w:r>
      <w:r w:rsidRPr="00853316">
        <w:rPr>
          <w:spacing w:val="2"/>
          <w:szCs w:val="24"/>
        </w:rPr>
        <w:t>.</w:t>
      </w:r>
      <w:r w:rsidRPr="00853316">
        <w:rPr>
          <w:szCs w:val="24"/>
        </w:rPr>
        <w:t>100</w:t>
      </w:r>
      <w:r w:rsidRPr="00853316">
        <w:rPr>
          <w:spacing w:val="-1"/>
          <w:szCs w:val="24"/>
        </w:rPr>
        <w:t xml:space="preserve"> </w:t>
      </w:r>
      <w:r w:rsidRPr="00853316">
        <w:rPr>
          <w:szCs w:val="24"/>
        </w:rPr>
        <w:t>-</w:t>
      </w:r>
      <w:r w:rsidRPr="00853316">
        <w:rPr>
          <w:spacing w:val="-1"/>
          <w:szCs w:val="24"/>
        </w:rPr>
        <w:t xml:space="preserve"> </w:t>
      </w:r>
      <w:r w:rsidRPr="00853316">
        <w:rPr>
          <w:szCs w:val="24"/>
        </w:rPr>
        <w:t>Exemptions from Housing Mitigation Requirements</w:t>
      </w:r>
    </w:p>
    <w:p w:rsidR="00CD73A6" w:rsidRPr="00853316" w:rsidRDefault="00CD73A6" w:rsidP="00CD73A6">
      <w:pPr>
        <w:ind w:left="100"/>
        <w:rPr>
          <w:szCs w:val="24"/>
        </w:rPr>
      </w:pPr>
      <w:r w:rsidRPr="00853316">
        <w:rPr>
          <w:szCs w:val="24"/>
        </w:rPr>
        <w:t xml:space="preserve">17.136.110 </w:t>
      </w:r>
      <w:r>
        <w:rPr>
          <w:szCs w:val="24"/>
        </w:rPr>
        <w:t>-</w:t>
      </w:r>
      <w:r w:rsidRPr="00853316">
        <w:rPr>
          <w:szCs w:val="24"/>
        </w:rPr>
        <w:t xml:space="preserve"> Time Performance Required</w:t>
      </w:r>
    </w:p>
    <w:p w:rsidR="00CD73A6" w:rsidRPr="00853316" w:rsidRDefault="00CD73A6" w:rsidP="00CD73A6">
      <w:pPr>
        <w:ind w:left="100"/>
        <w:rPr>
          <w:szCs w:val="24"/>
        </w:rPr>
      </w:pPr>
      <w:r w:rsidRPr="00853316">
        <w:rPr>
          <w:szCs w:val="24"/>
        </w:rPr>
        <w:t xml:space="preserve">17.136.120 </w:t>
      </w:r>
      <w:r>
        <w:rPr>
          <w:szCs w:val="24"/>
        </w:rPr>
        <w:t>-</w:t>
      </w:r>
      <w:r w:rsidRPr="00853316">
        <w:rPr>
          <w:szCs w:val="24"/>
        </w:rPr>
        <w:t xml:space="preserve"> Livability Standards</w:t>
      </w:r>
    </w:p>
    <w:p w:rsidR="00CD73A6" w:rsidRPr="00853316" w:rsidRDefault="00CD73A6" w:rsidP="00CD73A6">
      <w:pPr>
        <w:ind w:left="100"/>
        <w:rPr>
          <w:szCs w:val="24"/>
        </w:rPr>
      </w:pPr>
      <w:r w:rsidRPr="00853316">
        <w:rPr>
          <w:szCs w:val="24"/>
        </w:rPr>
        <w:t xml:space="preserve">17.136.130 </w:t>
      </w:r>
      <w:r>
        <w:rPr>
          <w:szCs w:val="24"/>
        </w:rPr>
        <w:t>-</w:t>
      </w:r>
      <w:r w:rsidRPr="00853316">
        <w:rPr>
          <w:szCs w:val="24"/>
        </w:rPr>
        <w:t xml:space="preserve"> Eligibility, Continued Affordability</w:t>
      </w:r>
    </w:p>
    <w:p w:rsidR="00CD73A6" w:rsidRDefault="00CD73A6" w:rsidP="00CD73A6">
      <w:pPr>
        <w:spacing w:line="274" w:lineRule="exact"/>
        <w:ind w:left="100" w:right="-20"/>
        <w:rPr>
          <w:szCs w:val="24"/>
        </w:rPr>
      </w:pPr>
    </w:p>
    <w:p w:rsidR="00CD73A6" w:rsidRDefault="00CD73A6" w:rsidP="00CD73A6">
      <w:pPr>
        <w:rPr>
          <w:b/>
          <w:szCs w:val="24"/>
        </w:rPr>
      </w:pPr>
    </w:p>
    <w:p w:rsidR="00CD73A6" w:rsidRPr="0049480E" w:rsidRDefault="00CD73A6" w:rsidP="00CD73A6">
      <w:pPr>
        <w:rPr>
          <w:b/>
          <w:szCs w:val="24"/>
        </w:rPr>
      </w:pPr>
      <w:r w:rsidRPr="0049480E">
        <w:rPr>
          <w:b/>
          <w:szCs w:val="24"/>
        </w:rPr>
        <w:t xml:space="preserve">17.136.010 </w:t>
      </w:r>
      <w:r>
        <w:rPr>
          <w:b/>
          <w:szCs w:val="24"/>
        </w:rPr>
        <w:t>–</w:t>
      </w:r>
      <w:r w:rsidRPr="0049480E">
        <w:rPr>
          <w:b/>
          <w:szCs w:val="24"/>
        </w:rPr>
        <w:t xml:space="preserve"> Purpose of Chapter</w:t>
      </w:r>
    </w:p>
    <w:p w:rsidR="00CD73A6" w:rsidRDefault="00CD73A6" w:rsidP="00CD73A6">
      <w:pPr>
        <w:rPr>
          <w:szCs w:val="24"/>
        </w:rPr>
      </w:pPr>
      <w:r w:rsidRPr="0049480E">
        <w:rPr>
          <w:szCs w:val="24"/>
        </w:rPr>
        <w:t xml:space="preserve">The purpose of this </w:t>
      </w:r>
      <w:r>
        <w:rPr>
          <w:szCs w:val="24"/>
        </w:rPr>
        <w:t>C</w:t>
      </w:r>
      <w:r w:rsidRPr="0049480E">
        <w:rPr>
          <w:szCs w:val="24"/>
        </w:rPr>
        <w:t>hapter is to:</w:t>
      </w:r>
    </w:p>
    <w:p w:rsidR="00CD73A6" w:rsidRPr="0049480E" w:rsidRDefault="00CD73A6" w:rsidP="00CD73A6">
      <w:pPr>
        <w:rPr>
          <w:szCs w:val="24"/>
        </w:rPr>
      </w:pPr>
    </w:p>
    <w:p w:rsidR="00CD73A6" w:rsidRPr="0049480E" w:rsidRDefault="00CD73A6" w:rsidP="00CD73A6">
      <w:pPr>
        <w:pStyle w:val="ListParagraph"/>
        <w:numPr>
          <w:ilvl w:val="0"/>
          <w:numId w:val="16"/>
        </w:num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Encourage the development and availability of housing that is affordable to a broad range of households with varying income levels within the town as mandated by State law, Government Code Section 65580;</w:t>
      </w:r>
    </w:p>
    <w:p w:rsidR="00CD73A6" w:rsidRPr="0049480E" w:rsidRDefault="00CD73A6" w:rsidP="00CD73A6">
      <w:pPr>
        <w:rPr>
          <w:szCs w:val="24"/>
        </w:rPr>
      </w:pPr>
    </w:p>
    <w:p w:rsidR="00CD73A6" w:rsidRPr="0049480E" w:rsidRDefault="00CD73A6" w:rsidP="00CD73A6">
      <w:pPr>
        <w:pStyle w:val="ListParagraph"/>
        <w:numPr>
          <w:ilvl w:val="0"/>
          <w:numId w:val="16"/>
        </w:num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Promote the Town’s goal to add to, and preserve the existing stock of workforce housing units within the town;</w:t>
      </w:r>
    </w:p>
    <w:p w:rsidR="00CD73A6" w:rsidRPr="0049480E" w:rsidRDefault="00CD73A6" w:rsidP="00CD73A6">
      <w:pPr>
        <w:rPr>
          <w:szCs w:val="24"/>
        </w:rPr>
      </w:pPr>
    </w:p>
    <w:p w:rsidR="00CD73A6" w:rsidRPr="0049480E" w:rsidRDefault="00CD73A6" w:rsidP="00CD73A6">
      <w:pPr>
        <w:pStyle w:val="ListParagraph"/>
        <w:numPr>
          <w:ilvl w:val="0"/>
          <w:numId w:val="16"/>
        </w:num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Mitigate the impacts of market rate residential and non-residential development on the need for workforce housing in the town through the imposition of workforce housing requirements as included in this Chapter; and</w:t>
      </w:r>
    </w:p>
    <w:p w:rsidR="00CD73A6" w:rsidRPr="0049480E" w:rsidRDefault="00CD73A6" w:rsidP="00CD73A6">
      <w:pPr>
        <w:rPr>
          <w:szCs w:val="24"/>
        </w:rPr>
      </w:pPr>
    </w:p>
    <w:p w:rsidR="00CD73A6" w:rsidRPr="0049480E" w:rsidRDefault="00CD73A6" w:rsidP="00CD73A6">
      <w:pPr>
        <w:pStyle w:val="ListParagraph"/>
        <w:numPr>
          <w:ilvl w:val="0"/>
          <w:numId w:val="16"/>
        </w:numPr>
        <w:spacing w:after="0" w:line="240" w:lineRule="auto"/>
        <w:jc w:val="both"/>
        <w:rPr>
          <w:rFonts w:ascii="Times New Roman" w:hAnsi="Times New Roman" w:cs="Times New Roman"/>
          <w:sz w:val="24"/>
          <w:szCs w:val="24"/>
        </w:rPr>
      </w:pPr>
      <w:r w:rsidRPr="0049480E">
        <w:rPr>
          <w:rFonts w:ascii="Times New Roman" w:hAnsi="Times New Roman" w:cs="Times New Roman"/>
          <w:sz w:val="24"/>
          <w:szCs w:val="24"/>
        </w:rPr>
        <w:t>Implement the goals, objectives, policies, and programs of the General Plan and Housing Element related to workforce housing.</w:t>
      </w:r>
    </w:p>
    <w:p w:rsidR="00CD73A6" w:rsidRPr="0049480E" w:rsidRDefault="00CD73A6" w:rsidP="00CD73A6">
      <w:pPr>
        <w:rPr>
          <w:szCs w:val="24"/>
        </w:rPr>
      </w:pPr>
    </w:p>
    <w:p w:rsidR="00CD73A6" w:rsidRPr="0049480E" w:rsidRDefault="00CD73A6" w:rsidP="00CD73A6">
      <w:pPr>
        <w:rPr>
          <w:b/>
          <w:szCs w:val="24"/>
        </w:rPr>
      </w:pPr>
      <w:r w:rsidRPr="0049480E">
        <w:rPr>
          <w:b/>
          <w:szCs w:val="24"/>
        </w:rPr>
        <w:t xml:space="preserve">17.136.020 </w:t>
      </w:r>
      <w:r>
        <w:rPr>
          <w:b/>
          <w:szCs w:val="24"/>
        </w:rPr>
        <w:t>–</w:t>
      </w:r>
      <w:r w:rsidRPr="0049480E">
        <w:rPr>
          <w:b/>
          <w:szCs w:val="24"/>
        </w:rPr>
        <w:t xml:space="preserve"> </w:t>
      </w:r>
      <w:r>
        <w:rPr>
          <w:b/>
          <w:szCs w:val="24"/>
        </w:rPr>
        <w:t>Applicability</w:t>
      </w:r>
    </w:p>
    <w:p w:rsidR="00CD73A6" w:rsidRDefault="00CD73A6" w:rsidP="00CD73A6">
      <w:pPr>
        <w:rPr>
          <w:szCs w:val="24"/>
        </w:rPr>
      </w:pPr>
      <w:r w:rsidRPr="00D17A94">
        <w:rPr>
          <w:szCs w:val="24"/>
        </w:rPr>
        <w:t>New development, additions, and conversion of uses from one type to another, that are not exempt pursuant to Section 17.136.</w:t>
      </w:r>
      <w:r>
        <w:rPr>
          <w:szCs w:val="24"/>
        </w:rPr>
        <w:t>10</w:t>
      </w:r>
      <w:r w:rsidRPr="00D17A94">
        <w:rPr>
          <w:szCs w:val="24"/>
        </w:rPr>
        <w:t>0, shall be required to mitigate housing in accordance with the options identified in Sections 17.136.0</w:t>
      </w:r>
      <w:r>
        <w:rPr>
          <w:szCs w:val="24"/>
        </w:rPr>
        <w:t>4</w:t>
      </w:r>
      <w:r w:rsidRPr="00D17A94">
        <w:rPr>
          <w:szCs w:val="24"/>
        </w:rPr>
        <w:t>0 through 17.136.0</w:t>
      </w:r>
      <w:r>
        <w:rPr>
          <w:szCs w:val="24"/>
        </w:rPr>
        <w:t>8</w:t>
      </w:r>
      <w:r w:rsidRPr="00D17A94">
        <w:rPr>
          <w:szCs w:val="24"/>
        </w:rPr>
        <w:t>0, listed below.</w:t>
      </w:r>
    </w:p>
    <w:p w:rsidR="00CD73A6" w:rsidRPr="00D17A94" w:rsidRDefault="00CD73A6" w:rsidP="00CD73A6">
      <w:pPr>
        <w:rPr>
          <w:szCs w:val="24"/>
        </w:rPr>
      </w:pPr>
    </w:p>
    <w:p w:rsidR="00CD73A6" w:rsidRDefault="00CD73A6" w:rsidP="00CD73A6">
      <w:pPr>
        <w:pStyle w:val="ListParagraph"/>
        <w:spacing w:after="0" w:line="240" w:lineRule="auto"/>
        <w:jc w:val="both"/>
        <w:rPr>
          <w:rFonts w:ascii="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3543"/>
        <w:gridCol w:w="1556"/>
      </w:tblGrid>
      <w:tr w:rsidR="00CD73A6" w:rsidTr="00FA3F26">
        <w:trPr>
          <w:trHeight w:val="432"/>
        </w:trPr>
        <w:tc>
          <w:tcPr>
            <w:tcW w:w="0" w:type="auto"/>
            <w:shd w:val="pct10" w:color="auto" w:fill="auto"/>
            <w:vAlign w:val="center"/>
          </w:tcPr>
          <w:p w:rsidR="00CD73A6" w:rsidRPr="007A0BEC" w:rsidRDefault="00CD73A6" w:rsidP="00FA3F26">
            <w:pPr>
              <w:rPr>
                <w:b/>
                <w:szCs w:val="24"/>
              </w:rPr>
            </w:pPr>
            <w:r w:rsidRPr="007A0BEC">
              <w:rPr>
                <w:b/>
                <w:szCs w:val="24"/>
              </w:rPr>
              <w:lastRenderedPageBreak/>
              <w:t>Mitigation Option</w:t>
            </w:r>
          </w:p>
        </w:tc>
        <w:tc>
          <w:tcPr>
            <w:tcW w:w="0" w:type="auto"/>
            <w:shd w:val="pct10" w:color="auto" w:fill="auto"/>
            <w:vAlign w:val="center"/>
          </w:tcPr>
          <w:p w:rsidR="00CD73A6" w:rsidRPr="007A0BEC" w:rsidRDefault="00CD73A6" w:rsidP="00FA3F26">
            <w:pPr>
              <w:rPr>
                <w:b/>
                <w:szCs w:val="24"/>
              </w:rPr>
            </w:pPr>
            <w:r w:rsidRPr="007A0BEC">
              <w:rPr>
                <w:b/>
                <w:szCs w:val="24"/>
              </w:rPr>
              <w:t>Code Section</w:t>
            </w:r>
          </w:p>
        </w:tc>
      </w:tr>
      <w:tr w:rsidR="00CD73A6" w:rsidTr="00FA3F26">
        <w:trPr>
          <w:trHeight w:val="432"/>
        </w:trPr>
        <w:tc>
          <w:tcPr>
            <w:tcW w:w="0" w:type="auto"/>
            <w:vAlign w:val="center"/>
          </w:tcPr>
          <w:p w:rsidR="00CD73A6" w:rsidRPr="005B0B3E" w:rsidRDefault="00CD73A6" w:rsidP="00FA3F26">
            <w:pPr>
              <w:rPr>
                <w:szCs w:val="24"/>
              </w:rPr>
            </w:pPr>
            <w:r w:rsidRPr="005B0B3E">
              <w:rPr>
                <w:szCs w:val="24"/>
              </w:rPr>
              <w:t>Housing Impact Mitigation Fees</w:t>
            </w:r>
          </w:p>
        </w:tc>
        <w:tc>
          <w:tcPr>
            <w:tcW w:w="0" w:type="auto"/>
            <w:vAlign w:val="center"/>
          </w:tcPr>
          <w:p w:rsidR="00CD73A6" w:rsidRPr="005B0B3E" w:rsidRDefault="00CD73A6" w:rsidP="00FA3F26">
            <w:pPr>
              <w:rPr>
                <w:szCs w:val="24"/>
              </w:rPr>
            </w:pPr>
            <w:r w:rsidRPr="005B0B3E">
              <w:rPr>
                <w:szCs w:val="24"/>
              </w:rPr>
              <w:t>17.136.040</w:t>
            </w:r>
          </w:p>
        </w:tc>
      </w:tr>
      <w:tr w:rsidR="00CD73A6" w:rsidTr="00FA3F26">
        <w:trPr>
          <w:trHeight w:val="432"/>
        </w:trPr>
        <w:tc>
          <w:tcPr>
            <w:tcW w:w="0" w:type="auto"/>
            <w:vAlign w:val="center"/>
          </w:tcPr>
          <w:p w:rsidR="00CD73A6" w:rsidRPr="005B0B3E" w:rsidRDefault="00CD73A6" w:rsidP="00FA3F26">
            <w:pPr>
              <w:rPr>
                <w:szCs w:val="24"/>
              </w:rPr>
            </w:pPr>
            <w:r w:rsidRPr="005B0B3E">
              <w:rPr>
                <w:szCs w:val="24"/>
              </w:rPr>
              <w:t>On-Site Provision of Units</w:t>
            </w:r>
          </w:p>
        </w:tc>
        <w:tc>
          <w:tcPr>
            <w:tcW w:w="0" w:type="auto"/>
            <w:vAlign w:val="center"/>
          </w:tcPr>
          <w:p w:rsidR="00CD73A6" w:rsidRPr="005B0B3E" w:rsidRDefault="00CD73A6" w:rsidP="00FA3F26">
            <w:pPr>
              <w:rPr>
                <w:szCs w:val="24"/>
              </w:rPr>
            </w:pPr>
            <w:r w:rsidRPr="005B0B3E">
              <w:rPr>
                <w:szCs w:val="24"/>
              </w:rPr>
              <w:t>17.136.050</w:t>
            </w:r>
          </w:p>
        </w:tc>
      </w:tr>
      <w:tr w:rsidR="00CD73A6" w:rsidTr="00FA3F26">
        <w:trPr>
          <w:trHeight w:val="432"/>
        </w:trPr>
        <w:tc>
          <w:tcPr>
            <w:tcW w:w="0" w:type="auto"/>
            <w:vAlign w:val="center"/>
          </w:tcPr>
          <w:p w:rsidR="00CD73A6" w:rsidRPr="005B0B3E" w:rsidRDefault="00CD73A6" w:rsidP="00FA3F26">
            <w:pPr>
              <w:rPr>
                <w:szCs w:val="24"/>
              </w:rPr>
            </w:pPr>
            <w:r w:rsidRPr="005B0B3E">
              <w:rPr>
                <w:szCs w:val="24"/>
              </w:rPr>
              <w:t>Off-Site Provision of Units</w:t>
            </w:r>
          </w:p>
        </w:tc>
        <w:tc>
          <w:tcPr>
            <w:tcW w:w="0" w:type="auto"/>
            <w:vAlign w:val="center"/>
          </w:tcPr>
          <w:p w:rsidR="00CD73A6" w:rsidRPr="005B0B3E" w:rsidRDefault="00CD73A6" w:rsidP="00FA3F26">
            <w:pPr>
              <w:rPr>
                <w:szCs w:val="24"/>
              </w:rPr>
            </w:pPr>
            <w:r w:rsidRPr="005B0B3E">
              <w:rPr>
                <w:szCs w:val="24"/>
              </w:rPr>
              <w:t>17.136.060</w:t>
            </w:r>
          </w:p>
        </w:tc>
      </w:tr>
      <w:tr w:rsidR="00CD73A6" w:rsidTr="00FA3F26">
        <w:trPr>
          <w:trHeight w:val="432"/>
        </w:trPr>
        <w:tc>
          <w:tcPr>
            <w:tcW w:w="0" w:type="auto"/>
            <w:vAlign w:val="center"/>
          </w:tcPr>
          <w:p w:rsidR="00CD73A6" w:rsidRPr="005B0B3E" w:rsidRDefault="00CD73A6" w:rsidP="00FA3F26">
            <w:pPr>
              <w:rPr>
                <w:szCs w:val="24"/>
              </w:rPr>
            </w:pPr>
            <w:r w:rsidRPr="005B0B3E">
              <w:rPr>
                <w:szCs w:val="24"/>
              </w:rPr>
              <w:t>Conveyance of Land</w:t>
            </w:r>
          </w:p>
        </w:tc>
        <w:tc>
          <w:tcPr>
            <w:tcW w:w="0" w:type="auto"/>
            <w:vAlign w:val="center"/>
          </w:tcPr>
          <w:p w:rsidR="00CD73A6" w:rsidRPr="005B0B3E" w:rsidRDefault="00CD73A6" w:rsidP="00FA3F26">
            <w:pPr>
              <w:rPr>
                <w:szCs w:val="24"/>
              </w:rPr>
            </w:pPr>
            <w:r w:rsidRPr="005B0B3E">
              <w:rPr>
                <w:szCs w:val="24"/>
              </w:rPr>
              <w:t>17.136.070</w:t>
            </w:r>
          </w:p>
        </w:tc>
      </w:tr>
      <w:tr w:rsidR="00CD73A6" w:rsidTr="00FA3F26">
        <w:trPr>
          <w:trHeight w:val="432"/>
        </w:trPr>
        <w:tc>
          <w:tcPr>
            <w:tcW w:w="0" w:type="auto"/>
            <w:vAlign w:val="center"/>
          </w:tcPr>
          <w:p w:rsidR="00CD73A6" w:rsidRPr="005B0B3E" w:rsidRDefault="00CD73A6" w:rsidP="00FA3F26">
            <w:pPr>
              <w:rPr>
                <w:szCs w:val="24"/>
              </w:rPr>
            </w:pPr>
            <w:r w:rsidRPr="005B0B3E">
              <w:rPr>
                <w:szCs w:val="24"/>
              </w:rPr>
              <w:t>Alternate Housing Mitigation Plan</w:t>
            </w:r>
          </w:p>
        </w:tc>
        <w:tc>
          <w:tcPr>
            <w:tcW w:w="0" w:type="auto"/>
            <w:vAlign w:val="center"/>
          </w:tcPr>
          <w:p w:rsidR="00CD73A6" w:rsidRPr="005B0B3E" w:rsidRDefault="00CD73A6" w:rsidP="00FA3F26">
            <w:pPr>
              <w:rPr>
                <w:szCs w:val="24"/>
              </w:rPr>
            </w:pPr>
            <w:r w:rsidRPr="005B0B3E">
              <w:rPr>
                <w:szCs w:val="24"/>
              </w:rPr>
              <w:t>17.136.080</w:t>
            </w:r>
          </w:p>
        </w:tc>
      </w:tr>
    </w:tbl>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rPr>
          <w:b/>
          <w:szCs w:val="24"/>
        </w:rPr>
      </w:pPr>
      <w:r>
        <w:rPr>
          <w:b/>
          <w:szCs w:val="24"/>
        </w:rPr>
        <w:t>17.136.03</w:t>
      </w:r>
      <w:r w:rsidRPr="0049480E">
        <w:rPr>
          <w:b/>
          <w:szCs w:val="24"/>
        </w:rPr>
        <w:t xml:space="preserve">0 </w:t>
      </w:r>
      <w:r>
        <w:rPr>
          <w:b/>
          <w:szCs w:val="24"/>
        </w:rPr>
        <w:t>–</w:t>
      </w:r>
      <w:r w:rsidRPr="0049480E">
        <w:rPr>
          <w:b/>
          <w:szCs w:val="24"/>
        </w:rPr>
        <w:t xml:space="preserve"> </w:t>
      </w:r>
      <w:r w:rsidRPr="00D17A94">
        <w:rPr>
          <w:b/>
          <w:szCs w:val="24"/>
        </w:rPr>
        <w:t>Housing Mitigation</w:t>
      </w:r>
      <w:r>
        <w:rPr>
          <w:b/>
          <w:szCs w:val="24"/>
        </w:rPr>
        <w:t xml:space="preserve"> Required for Incremental New Demand and Credit</w:t>
      </w:r>
    </w:p>
    <w:p w:rsidR="00CD73A6" w:rsidRDefault="00CD73A6" w:rsidP="00CD73A6">
      <w:pPr>
        <w:rPr>
          <w:b/>
          <w:szCs w:val="24"/>
        </w:rPr>
      </w:pPr>
    </w:p>
    <w:p w:rsidR="00CD73A6" w:rsidRDefault="00CD73A6" w:rsidP="00CD73A6">
      <w:pPr>
        <w:pStyle w:val="ListParagraph"/>
        <w:numPr>
          <w:ilvl w:val="0"/>
          <w:numId w:val="34"/>
        </w:numPr>
        <w:spacing w:after="0" w:line="240" w:lineRule="auto"/>
        <w:ind w:hanging="90"/>
        <w:jc w:val="both"/>
        <w:rPr>
          <w:rFonts w:ascii="Times New Roman" w:hAnsi="Times New Roman" w:cs="Times New Roman"/>
          <w:sz w:val="24"/>
          <w:szCs w:val="24"/>
        </w:rPr>
      </w:pPr>
      <w:r w:rsidRPr="009E4B37">
        <w:rPr>
          <w:rFonts w:ascii="Times New Roman" w:hAnsi="Times New Roman" w:cs="Times New Roman"/>
          <w:b/>
          <w:sz w:val="24"/>
          <w:szCs w:val="24"/>
        </w:rPr>
        <w:t xml:space="preserve">Mitigation Required for Incremental </w:t>
      </w:r>
      <w:r>
        <w:rPr>
          <w:rFonts w:ascii="Times New Roman" w:hAnsi="Times New Roman" w:cs="Times New Roman"/>
          <w:b/>
          <w:sz w:val="24"/>
          <w:szCs w:val="24"/>
        </w:rPr>
        <w:t xml:space="preserve">New </w:t>
      </w:r>
      <w:r w:rsidRPr="009E4B37">
        <w:rPr>
          <w:rFonts w:ascii="Times New Roman" w:hAnsi="Times New Roman" w:cs="Times New Roman"/>
          <w:b/>
          <w:sz w:val="24"/>
          <w:szCs w:val="24"/>
        </w:rPr>
        <w:t>Demand.</w:t>
      </w:r>
      <w:r>
        <w:rPr>
          <w:rFonts w:ascii="Times New Roman" w:hAnsi="Times New Roman" w:cs="Times New Roman"/>
          <w:sz w:val="24"/>
          <w:szCs w:val="24"/>
        </w:rPr>
        <w:t xml:space="preserve"> </w:t>
      </w:r>
      <w:r w:rsidRPr="009E4B37">
        <w:rPr>
          <w:rFonts w:ascii="Times New Roman" w:hAnsi="Times New Roman" w:cs="Times New Roman"/>
          <w:sz w:val="24"/>
          <w:szCs w:val="24"/>
        </w:rPr>
        <w:t xml:space="preserve">Where a project would replace existing residential, lodging, or non-residential uses on the project site, the project shall only be required to mitigate the incremental new demand of the proposed project (such as an increase in gross commercial or industrial square footage, the net increase in the number of lodging rooms, or the net increase in the number of market rate housing units). </w:t>
      </w:r>
    </w:p>
    <w:p w:rsidR="00CD73A6" w:rsidRDefault="00CD73A6" w:rsidP="00CD73A6">
      <w:pPr>
        <w:pStyle w:val="ListParagraph"/>
        <w:spacing w:after="0" w:line="240" w:lineRule="auto"/>
        <w:ind w:hanging="90"/>
        <w:jc w:val="both"/>
        <w:rPr>
          <w:rFonts w:ascii="Times New Roman" w:hAnsi="Times New Roman" w:cs="Times New Roman"/>
          <w:sz w:val="24"/>
          <w:szCs w:val="24"/>
        </w:rPr>
      </w:pPr>
    </w:p>
    <w:p w:rsidR="00CD73A6" w:rsidRDefault="00CD73A6" w:rsidP="00CD73A6">
      <w:pPr>
        <w:pStyle w:val="ListParagraph"/>
        <w:numPr>
          <w:ilvl w:val="0"/>
          <w:numId w:val="34"/>
        </w:numPr>
        <w:spacing w:after="0" w:line="240" w:lineRule="auto"/>
        <w:ind w:hanging="90"/>
        <w:jc w:val="both"/>
        <w:rPr>
          <w:rFonts w:ascii="Times New Roman" w:hAnsi="Times New Roman" w:cs="Times New Roman"/>
          <w:sz w:val="24"/>
          <w:szCs w:val="24"/>
        </w:rPr>
      </w:pPr>
      <w:r w:rsidRPr="009E4B37">
        <w:rPr>
          <w:rFonts w:ascii="Times New Roman" w:hAnsi="Times New Roman" w:cs="Times New Roman"/>
          <w:b/>
          <w:sz w:val="24"/>
          <w:szCs w:val="24"/>
        </w:rPr>
        <w:t>Housing Mitigation Credit.</w:t>
      </w:r>
      <w:r>
        <w:rPr>
          <w:rFonts w:ascii="Times New Roman" w:hAnsi="Times New Roman" w:cs="Times New Roman"/>
          <w:sz w:val="24"/>
          <w:szCs w:val="24"/>
        </w:rPr>
        <w:t xml:space="preserve"> </w:t>
      </w:r>
    </w:p>
    <w:p w:rsidR="00CD73A6" w:rsidRDefault="00CD73A6" w:rsidP="00CD73A6">
      <w:pPr>
        <w:pStyle w:val="ListParagraph"/>
        <w:numPr>
          <w:ilvl w:val="1"/>
          <w:numId w:val="34"/>
        </w:numPr>
        <w:spacing w:before="240" w:after="0" w:line="240" w:lineRule="auto"/>
        <w:contextualSpacing w:val="0"/>
        <w:jc w:val="both"/>
        <w:rPr>
          <w:rFonts w:ascii="Times New Roman" w:hAnsi="Times New Roman" w:cs="Times New Roman"/>
          <w:sz w:val="24"/>
          <w:szCs w:val="24"/>
        </w:rPr>
      </w:pPr>
      <w:r w:rsidRPr="009E4B37">
        <w:rPr>
          <w:rFonts w:ascii="Times New Roman" w:hAnsi="Times New Roman" w:cs="Times New Roman"/>
          <w:sz w:val="24"/>
          <w:szCs w:val="24"/>
        </w:rPr>
        <w:t xml:space="preserve">Credit for existing uses shall be calculated based on the housing impact mitigation fee(s) applicable to the existing use(s) at the time of </w:t>
      </w:r>
      <w:r>
        <w:rPr>
          <w:rFonts w:ascii="Times New Roman" w:hAnsi="Times New Roman" w:cs="Times New Roman"/>
          <w:sz w:val="24"/>
          <w:szCs w:val="24"/>
        </w:rPr>
        <w:t>submittal of a complete building permit application for reconstruction, replacement, or new construction to which some or all of the credit will be applied</w:t>
      </w:r>
      <w:r w:rsidRPr="00B92B9B">
        <w:rPr>
          <w:rFonts w:ascii="Times New Roman" w:hAnsi="Times New Roman" w:cs="Times New Roman"/>
          <w:sz w:val="24"/>
          <w:szCs w:val="24"/>
        </w:rPr>
        <w:t xml:space="preserve">. </w:t>
      </w:r>
    </w:p>
    <w:p w:rsidR="00CD73A6" w:rsidRDefault="00CD73A6" w:rsidP="00CD73A6">
      <w:pPr>
        <w:pStyle w:val="ListParagraph"/>
        <w:numPr>
          <w:ilvl w:val="1"/>
          <w:numId w:val="34"/>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Credit for the provision of housing mitigation above that required by this Chapter shall be determined by the Director. </w:t>
      </w:r>
    </w:p>
    <w:p w:rsidR="00CD73A6" w:rsidRDefault="00CD73A6" w:rsidP="00CD73A6">
      <w:pPr>
        <w:pStyle w:val="ListParagraph"/>
        <w:numPr>
          <w:ilvl w:val="1"/>
          <w:numId w:val="34"/>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Under previous housing mitigation requirements, housing credits have been calculated based on Full Time Equivalent Employees (FTEEs) and/or Employee Housing Units (EHUs). One FTEE is a full time year round employee. One EHU equals one bedroom and is calculated as fifty eight and one half percent (58.5%) of an FTEE. FTEE and EHU credits may be applied to mitigation requirements identified herein.</w:t>
      </w:r>
    </w:p>
    <w:p w:rsidR="00CD73A6" w:rsidRPr="00B92B9B" w:rsidRDefault="00CD73A6" w:rsidP="00CD73A6">
      <w:pPr>
        <w:pStyle w:val="ListParagraph"/>
        <w:numPr>
          <w:ilvl w:val="1"/>
          <w:numId w:val="34"/>
        </w:numPr>
        <w:spacing w:before="240" w:after="0" w:line="240" w:lineRule="auto"/>
        <w:contextualSpacing w:val="0"/>
        <w:jc w:val="both"/>
        <w:rPr>
          <w:rFonts w:ascii="Times New Roman" w:hAnsi="Times New Roman" w:cs="Times New Roman"/>
          <w:sz w:val="24"/>
          <w:szCs w:val="24"/>
        </w:rPr>
      </w:pPr>
      <w:r w:rsidRPr="00B92B9B">
        <w:rPr>
          <w:rFonts w:ascii="Times New Roman" w:hAnsi="Times New Roman" w:cs="Times New Roman"/>
          <w:sz w:val="24"/>
          <w:szCs w:val="24"/>
        </w:rPr>
        <w:t xml:space="preserve">Unused credits may be sold or transferred to other properties on which a workforce housing obligation is required under this </w:t>
      </w:r>
      <w:r>
        <w:rPr>
          <w:rFonts w:ascii="Times New Roman" w:hAnsi="Times New Roman" w:cs="Times New Roman"/>
          <w:sz w:val="24"/>
          <w:szCs w:val="24"/>
        </w:rPr>
        <w:t>C</w:t>
      </w:r>
      <w:r w:rsidRPr="00B92B9B">
        <w:rPr>
          <w:rFonts w:ascii="Times New Roman" w:hAnsi="Times New Roman" w:cs="Times New Roman"/>
          <w:sz w:val="24"/>
          <w:szCs w:val="24"/>
        </w:rPr>
        <w:t>hapter.</w:t>
      </w:r>
    </w:p>
    <w:p w:rsidR="00CD73A6" w:rsidRPr="0049480E" w:rsidRDefault="00CD73A6" w:rsidP="00CD73A6">
      <w:pPr>
        <w:rPr>
          <w:szCs w:val="24"/>
        </w:rPr>
      </w:pPr>
    </w:p>
    <w:p w:rsidR="00CD73A6" w:rsidRPr="0049480E" w:rsidRDefault="00CD73A6" w:rsidP="00CD73A6">
      <w:pPr>
        <w:rPr>
          <w:b/>
          <w:szCs w:val="24"/>
        </w:rPr>
      </w:pPr>
      <w:r>
        <w:rPr>
          <w:b/>
          <w:szCs w:val="24"/>
        </w:rPr>
        <w:t>17.136.04</w:t>
      </w:r>
      <w:r w:rsidRPr="0049480E">
        <w:rPr>
          <w:b/>
          <w:szCs w:val="24"/>
        </w:rPr>
        <w:t xml:space="preserve">0 </w:t>
      </w:r>
      <w:r>
        <w:rPr>
          <w:b/>
          <w:szCs w:val="24"/>
        </w:rPr>
        <w:t>–</w:t>
      </w:r>
      <w:r w:rsidRPr="0049480E">
        <w:rPr>
          <w:b/>
          <w:szCs w:val="24"/>
        </w:rPr>
        <w:t xml:space="preserve"> </w:t>
      </w:r>
      <w:r>
        <w:rPr>
          <w:b/>
          <w:szCs w:val="24"/>
        </w:rPr>
        <w:t>Housing Impact Mitigation Fees</w:t>
      </w:r>
    </w:p>
    <w:p w:rsidR="00CD73A6" w:rsidRDefault="00CD73A6" w:rsidP="00CD73A6">
      <w:pPr>
        <w:rPr>
          <w:szCs w:val="24"/>
        </w:rPr>
      </w:pPr>
    </w:p>
    <w:p w:rsidR="00CD73A6" w:rsidRDefault="00CD73A6" w:rsidP="00CD73A6">
      <w:pPr>
        <w:pStyle w:val="ListParagraph"/>
        <w:numPr>
          <w:ilvl w:val="0"/>
          <w:numId w:val="17"/>
        </w:numPr>
        <w:spacing w:after="0" w:line="240" w:lineRule="auto"/>
        <w:jc w:val="both"/>
        <w:rPr>
          <w:rFonts w:ascii="Times New Roman" w:hAnsi="Times New Roman" w:cs="Times New Roman"/>
          <w:sz w:val="24"/>
          <w:szCs w:val="24"/>
        </w:rPr>
      </w:pPr>
      <w:r w:rsidRPr="00F97560">
        <w:rPr>
          <w:rFonts w:ascii="Times New Roman" w:hAnsi="Times New Roman" w:cs="Times New Roman"/>
          <w:b/>
          <w:sz w:val="24"/>
          <w:szCs w:val="24"/>
        </w:rPr>
        <w:t>Fee Established.</w:t>
      </w:r>
      <w:r>
        <w:rPr>
          <w:rFonts w:ascii="Times New Roman" w:hAnsi="Times New Roman" w:cs="Times New Roman"/>
          <w:sz w:val="24"/>
          <w:szCs w:val="24"/>
        </w:rPr>
        <w:t xml:space="preserve"> </w:t>
      </w:r>
      <w:r w:rsidRPr="007A0BEC">
        <w:rPr>
          <w:rFonts w:ascii="Times New Roman" w:hAnsi="Times New Roman" w:cs="Times New Roman"/>
          <w:sz w:val="24"/>
          <w:szCs w:val="24"/>
        </w:rPr>
        <w:t xml:space="preserve">The housing </w:t>
      </w:r>
      <w:r>
        <w:rPr>
          <w:rFonts w:ascii="Times New Roman" w:hAnsi="Times New Roman" w:cs="Times New Roman"/>
          <w:sz w:val="24"/>
          <w:szCs w:val="24"/>
        </w:rPr>
        <w:t xml:space="preserve">impact mitigation </w:t>
      </w:r>
      <w:r w:rsidRPr="007A0BEC">
        <w:rPr>
          <w:rFonts w:ascii="Times New Roman" w:hAnsi="Times New Roman" w:cs="Times New Roman"/>
          <w:sz w:val="24"/>
          <w:szCs w:val="24"/>
        </w:rPr>
        <w:t>fee</w:t>
      </w:r>
      <w:r>
        <w:rPr>
          <w:rFonts w:ascii="Times New Roman" w:hAnsi="Times New Roman" w:cs="Times New Roman"/>
          <w:sz w:val="24"/>
          <w:szCs w:val="24"/>
        </w:rPr>
        <w:t xml:space="preserve"> (“housing fee”)</w:t>
      </w:r>
      <w:r w:rsidRPr="007A0BEC">
        <w:rPr>
          <w:rFonts w:ascii="Times New Roman" w:hAnsi="Times New Roman" w:cs="Times New Roman"/>
          <w:sz w:val="24"/>
          <w:szCs w:val="24"/>
        </w:rPr>
        <w:t xml:space="preserve"> applicable to each use shall be established by resolution of the Council, in accordance with the provisions of </w:t>
      </w:r>
      <w:r>
        <w:rPr>
          <w:rFonts w:ascii="Times New Roman" w:hAnsi="Times New Roman" w:cs="Times New Roman"/>
          <w:sz w:val="24"/>
          <w:szCs w:val="24"/>
        </w:rPr>
        <w:t>Subs</w:t>
      </w:r>
      <w:r w:rsidRPr="007A0BEC">
        <w:rPr>
          <w:rFonts w:ascii="Times New Roman" w:hAnsi="Times New Roman" w:cs="Times New Roman"/>
          <w:sz w:val="24"/>
          <w:szCs w:val="24"/>
        </w:rPr>
        <w:t>ection 17.136.0</w:t>
      </w:r>
      <w:r>
        <w:rPr>
          <w:rFonts w:ascii="Times New Roman" w:hAnsi="Times New Roman" w:cs="Times New Roman"/>
          <w:sz w:val="24"/>
          <w:szCs w:val="24"/>
        </w:rPr>
        <w:t>4</w:t>
      </w:r>
      <w:r w:rsidRPr="007A0BEC">
        <w:rPr>
          <w:rFonts w:ascii="Times New Roman" w:hAnsi="Times New Roman" w:cs="Times New Roman"/>
          <w:sz w:val="24"/>
          <w:szCs w:val="24"/>
        </w:rPr>
        <w:t>0</w:t>
      </w:r>
      <w:r>
        <w:rPr>
          <w:rFonts w:ascii="Times New Roman" w:hAnsi="Times New Roman" w:cs="Times New Roman"/>
          <w:sz w:val="24"/>
          <w:szCs w:val="24"/>
        </w:rPr>
        <w:t>.G</w:t>
      </w:r>
      <w:r w:rsidRPr="007A0BEC">
        <w:rPr>
          <w:rFonts w:ascii="Times New Roman" w:hAnsi="Times New Roman" w:cs="Times New Roman"/>
          <w:sz w:val="24"/>
          <w:szCs w:val="24"/>
        </w:rPr>
        <w:t>.</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17"/>
        </w:numPr>
        <w:spacing w:after="0" w:line="240" w:lineRule="auto"/>
        <w:jc w:val="both"/>
        <w:rPr>
          <w:rFonts w:ascii="Times New Roman" w:hAnsi="Times New Roman" w:cs="Times New Roman"/>
          <w:sz w:val="24"/>
          <w:szCs w:val="24"/>
        </w:rPr>
      </w:pPr>
      <w:r w:rsidRPr="00F97560">
        <w:rPr>
          <w:rFonts w:ascii="Times New Roman" w:hAnsi="Times New Roman" w:cs="Times New Roman"/>
          <w:b/>
          <w:sz w:val="24"/>
          <w:szCs w:val="24"/>
        </w:rPr>
        <w:lastRenderedPageBreak/>
        <w:t>Director Determination of Category.</w:t>
      </w:r>
      <w:r>
        <w:rPr>
          <w:rFonts w:ascii="Times New Roman" w:hAnsi="Times New Roman" w:cs="Times New Roman"/>
          <w:sz w:val="24"/>
          <w:szCs w:val="24"/>
        </w:rPr>
        <w:t xml:space="preserve"> </w:t>
      </w:r>
      <w:r w:rsidRPr="00EB3836">
        <w:rPr>
          <w:rFonts w:ascii="Times New Roman" w:hAnsi="Times New Roman" w:cs="Times New Roman"/>
          <w:sz w:val="24"/>
          <w:szCs w:val="24"/>
        </w:rPr>
        <w:t>The Director shall determine the appropriate category for the development, and shall calculate the amount of the housing fee based on the adopted fee schedule, based on the provisions herein.</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17"/>
        </w:numPr>
        <w:spacing w:after="0" w:line="240" w:lineRule="auto"/>
        <w:jc w:val="both"/>
        <w:rPr>
          <w:rFonts w:ascii="Times New Roman" w:hAnsi="Times New Roman" w:cs="Times New Roman"/>
          <w:sz w:val="24"/>
          <w:szCs w:val="24"/>
        </w:rPr>
      </w:pPr>
      <w:r w:rsidRPr="001F7AEC">
        <w:rPr>
          <w:rFonts w:ascii="Times New Roman" w:hAnsi="Times New Roman" w:cs="Times New Roman"/>
          <w:b/>
          <w:sz w:val="24"/>
          <w:szCs w:val="24"/>
        </w:rPr>
        <w:t>Housing Fee Calculations.</w:t>
      </w:r>
      <w:r>
        <w:rPr>
          <w:rFonts w:ascii="Times New Roman" w:hAnsi="Times New Roman" w:cs="Times New Roman"/>
          <w:sz w:val="24"/>
          <w:szCs w:val="24"/>
        </w:rPr>
        <w:t xml:space="preserve"> </w:t>
      </w:r>
      <w:r w:rsidRPr="00EB3836">
        <w:rPr>
          <w:rFonts w:ascii="Times New Roman" w:hAnsi="Times New Roman" w:cs="Times New Roman"/>
          <w:sz w:val="24"/>
          <w:szCs w:val="24"/>
        </w:rPr>
        <w:t>Housing fees shall be calculated as follows:</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1"/>
          <w:numId w:val="17"/>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New residential developments:</w:t>
      </w:r>
    </w:p>
    <w:p w:rsidR="00CD73A6" w:rsidRPr="00EB3836" w:rsidRDefault="00CD73A6" w:rsidP="00CD73A6">
      <w:pPr>
        <w:spacing w:before="120"/>
        <w:ind w:left="720" w:firstLine="720"/>
        <w:rPr>
          <w:i/>
          <w:szCs w:val="24"/>
        </w:rPr>
      </w:pPr>
      <w:r w:rsidRPr="00EB3836">
        <w:rPr>
          <w:i/>
          <w:szCs w:val="24"/>
        </w:rPr>
        <w:t>Housing fee = (number of new units) X (applicable housing fee for new use)</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New lodging developments:</w:t>
      </w:r>
    </w:p>
    <w:p w:rsidR="00CD73A6" w:rsidRPr="00EB3836" w:rsidRDefault="00CD73A6" w:rsidP="00CD73A6">
      <w:pPr>
        <w:spacing w:before="120"/>
        <w:ind w:left="720" w:firstLine="720"/>
        <w:rPr>
          <w:i/>
          <w:szCs w:val="24"/>
        </w:rPr>
      </w:pPr>
      <w:r w:rsidRPr="00EB3836">
        <w:rPr>
          <w:i/>
          <w:szCs w:val="24"/>
        </w:rPr>
        <w:t>Housing fee = (number of new rooms) X (applicable housing fee for new use)</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7"/>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Non-residential developments that include new construction or addition to existing non-residential space:</w:t>
      </w:r>
    </w:p>
    <w:p w:rsidR="00CD73A6" w:rsidRPr="00EB3836" w:rsidRDefault="00CD73A6" w:rsidP="00CD73A6">
      <w:pPr>
        <w:spacing w:before="120"/>
        <w:ind w:left="1440"/>
        <w:rPr>
          <w:i/>
          <w:szCs w:val="24"/>
        </w:rPr>
      </w:pPr>
      <w:r w:rsidRPr="00EB3836">
        <w:rPr>
          <w:i/>
          <w:szCs w:val="24"/>
        </w:rPr>
        <w:t>Housing  fee  =  (gross  square  feet  of  new  non-residential  space)  X (applicable fee by type of use)</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7"/>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Conversion of one non-residential use, without addition of new space, to another non-residential use:</w:t>
      </w:r>
    </w:p>
    <w:p w:rsidR="00CD73A6" w:rsidRPr="00EB3836" w:rsidRDefault="00CD73A6" w:rsidP="00CD73A6">
      <w:pPr>
        <w:spacing w:before="120"/>
        <w:ind w:firstLine="1440"/>
        <w:rPr>
          <w:i/>
          <w:szCs w:val="24"/>
        </w:rPr>
      </w:pPr>
      <w:r w:rsidRPr="00EB3836">
        <w:rPr>
          <w:i/>
          <w:szCs w:val="24"/>
        </w:rPr>
        <w:t xml:space="preserve">Housing fee = </w:t>
      </w:r>
      <w:r>
        <w:rPr>
          <w:i/>
          <w:szCs w:val="24"/>
        </w:rPr>
        <w:t>[</w:t>
      </w:r>
      <w:r w:rsidRPr="00EB3836">
        <w:rPr>
          <w:i/>
          <w:szCs w:val="24"/>
        </w:rPr>
        <w:t>(gross square feet) X (applicable housing fee for new use)</w:t>
      </w:r>
      <w:r>
        <w:rPr>
          <w:i/>
          <w:szCs w:val="24"/>
        </w:rPr>
        <w:t>]</w:t>
      </w:r>
      <w:r w:rsidRPr="00EB3836">
        <w:rPr>
          <w:i/>
          <w:szCs w:val="24"/>
        </w:rPr>
        <w:t xml:space="preserve"> –</w:t>
      </w:r>
    </w:p>
    <w:p w:rsidR="00CD73A6" w:rsidRPr="00EB3836" w:rsidRDefault="00CD73A6" w:rsidP="00CD73A6">
      <w:pPr>
        <w:ind w:firstLine="1440"/>
        <w:rPr>
          <w:i/>
          <w:szCs w:val="24"/>
        </w:rPr>
      </w:pPr>
      <w:r>
        <w:rPr>
          <w:i/>
          <w:szCs w:val="24"/>
        </w:rPr>
        <w:t>[</w:t>
      </w:r>
      <w:r w:rsidRPr="00EB3836">
        <w:rPr>
          <w:i/>
          <w:szCs w:val="24"/>
        </w:rPr>
        <w:t>(</w:t>
      </w:r>
      <w:proofErr w:type="gramStart"/>
      <w:r w:rsidRPr="00EB3836">
        <w:rPr>
          <w:i/>
          <w:szCs w:val="24"/>
        </w:rPr>
        <w:t>gross</w:t>
      </w:r>
      <w:proofErr w:type="gramEnd"/>
      <w:r w:rsidRPr="00EB3836">
        <w:rPr>
          <w:i/>
          <w:szCs w:val="24"/>
        </w:rPr>
        <w:t xml:space="preserve"> square feet) X (applicable housing fee for prior use)</w:t>
      </w:r>
      <w:r>
        <w:rPr>
          <w:i/>
          <w:szCs w:val="24"/>
        </w:rPr>
        <w:t>]</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7"/>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Conversion from a residential use to a non-residential use:</w:t>
      </w:r>
    </w:p>
    <w:p w:rsidR="00CD73A6" w:rsidRPr="00EB3836" w:rsidRDefault="00CD73A6" w:rsidP="00CD73A6">
      <w:pPr>
        <w:spacing w:before="120"/>
        <w:ind w:left="1440"/>
        <w:rPr>
          <w:i/>
          <w:szCs w:val="24"/>
        </w:rPr>
      </w:pPr>
      <w:r w:rsidRPr="00EB3836">
        <w:rPr>
          <w:i/>
          <w:szCs w:val="24"/>
        </w:rPr>
        <w:t xml:space="preserve">Housing fee = </w:t>
      </w:r>
      <w:r>
        <w:rPr>
          <w:i/>
          <w:szCs w:val="24"/>
        </w:rPr>
        <w:t>[</w:t>
      </w:r>
      <w:r w:rsidRPr="00EB3836">
        <w:rPr>
          <w:i/>
          <w:szCs w:val="24"/>
        </w:rPr>
        <w:t>(gross square feet of new non-residential use) X (applicable housing fee)</w:t>
      </w:r>
      <w:r>
        <w:rPr>
          <w:i/>
          <w:szCs w:val="24"/>
        </w:rPr>
        <w:t>]</w:t>
      </w:r>
      <w:r w:rsidRPr="00EB3836">
        <w:rPr>
          <w:i/>
          <w:szCs w:val="24"/>
        </w:rPr>
        <w:t xml:space="preserve"> – </w:t>
      </w:r>
      <w:r>
        <w:rPr>
          <w:i/>
          <w:szCs w:val="24"/>
        </w:rPr>
        <w:t>[</w:t>
      </w:r>
      <w:r w:rsidRPr="00EB3836">
        <w:rPr>
          <w:i/>
          <w:szCs w:val="24"/>
        </w:rPr>
        <w:t>(number of prior residential units) X (applicable housing fee)</w:t>
      </w:r>
      <w:r>
        <w:rPr>
          <w:i/>
          <w:szCs w:val="24"/>
        </w:rPr>
        <w:t>]</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EB3836" w:rsidRDefault="00CD73A6" w:rsidP="00CD73A6">
      <w:pPr>
        <w:pStyle w:val="ListParagraph"/>
        <w:numPr>
          <w:ilvl w:val="1"/>
          <w:numId w:val="17"/>
        </w:numPr>
        <w:spacing w:after="0" w:line="240" w:lineRule="auto"/>
        <w:jc w:val="both"/>
        <w:rPr>
          <w:rFonts w:ascii="Times New Roman" w:hAnsi="Times New Roman" w:cs="Times New Roman"/>
          <w:sz w:val="24"/>
          <w:szCs w:val="24"/>
        </w:rPr>
      </w:pPr>
      <w:r w:rsidRPr="00EB3836">
        <w:rPr>
          <w:rFonts w:ascii="Times New Roman" w:hAnsi="Times New Roman" w:cs="Times New Roman"/>
          <w:sz w:val="24"/>
          <w:szCs w:val="24"/>
        </w:rPr>
        <w:t>Conversion from a lodging use to a non-residential use:</w:t>
      </w:r>
    </w:p>
    <w:p w:rsidR="00CD73A6" w:rsidRPr="00EB3836" w:rsidRDefault="00CD73A6" w:rsidP="00CD73A6">
      <w:pPr>
        <w:spacing w:before="120"/>
        <w:ind w:left="1440"/>
        <w:rPr>
          <w:i/>
          <w:szCs w:val="24"/>
        </w:rPr>
      </w:pPr>
      <w:r w:rsidRPr="00EB3836">
        <w:rPr>
          <w:i/>
          <w:szCs w:val="24"/>
        </w:rPr>
        <w:t xml:space="preserve">Housing fee = </w:t>
      </w:r>
      <w:r>
        <w:rPr>
          <w:i/>
          <w:szCs w:val="24"/>
        </w:rPr>
        <w:t>[</w:t>
      </w:r>
      <w:r w:rsidRPr="00EB3836">
        <w:rPr>
          <w:i/>
          <w:szCs w:val="24"/>
        </w:rPr>
        <w:t>(gross square feet of new non-residential use) X (applicable housing fee</w:t>
      </w:r>
      <w:r>
        <w:rPr>
          <w:i/>
          <w:szCs w:val="24"/>
        </w:rPr>
        <w:t>]</w:t>
      </w:r>
      <w:r w:rsidRPr="00EB3836">
        <w:rPr>
          <w:i/>
          <w:szCs w:val="24"/>
        </w:rPr>
        <w:t xml:space="preserve">) – </w:t>
      </w:r>
      <w:r>
        <w:rPr>
          <w:i/>
          <w:szCs w:val="24"/>
        </w:rPr>
        <w:t>[</w:t>
      </w:r>
      <w:r w:rsidRPr="00EB3836">
        <w:rPr>
          <w:i/>
          <w:szCs w:val="24"/>
        </w:rPr>
        <w:t>(number of prior lodging rooms) X (applicable housing fee)</w:t>
      </w:r>
      <w:r>
        <w:rPr>
          <w:i/>
          <w:szCs w:val="24"/>
        </w:rPr>
        <w:t>]</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17"/>
        </w:numPr>
        <w:spacing w:after="0" w:line="240" w:lineRule="auto"/>
        <w:jc w:val="both"/>
        <w:rPr>
          <w:rFonts w:ascii="Times New Roman" w:hAnsi="Times New Roman" w:cs="Times New Roman"/>
          <w:sz w:val="24"/>
          <w:szCs w:val="24"/>
        </w:rPr>
      </w:pPr>
      <w:r w:rsidRPr="001F7AEC">
        <w:rPr>
          <w:rFonts w:ascii="Times New Roman" w:hAnsi="Times New Roman" w:cs="Times New Roman"/>
          <w:b/>
          <w:sz w:val="24"/>
          <w:szCs w:val="24"/>
        </w:rPr>
        <w:t>Individualized Use Determination for Housing Fees.</w:t>
      </w:r>
      <w:r>
        <w:rPr>
          <w:rFonts w:ascii="Times New Roman" w:hAnsi="Times New Roman" w:cs="Times New Roman"/>
          <w:sz w:val="24"/>
          <w:szCs w:val="24"/>
        </w:rPr>
        <w:t xml:space="preserve"> </w:t>
      </w:r>
      <w:r w:rsidRPr="00EB3836">
        <w:rPr>
          <w:rFonts w:ascii="Times New Roman" w:hAnsi="Times New Roman" w:cs="Times New Roman"/>
          <w:sz w:val="24"/>
          <w:szCs w:val="24"/>
        </w:rPr>
        <w:t>The land use category for a development shall be determined by the Director based on an individualized determination only if:</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1"/>
          <w:numId w:val="17"/>
        </w:numPr>
        <w:spacing w:after="0" w:line="240" w:lineRule="auto"/>
        <w:jc w:val="both"/>
        <w:rPr>
          <w:rFonts w:ascii="Times New Roman" w:hAnsi="Times New Roman" w:cs="Times New Roman"/>
          <w:sz w:val="24"/>
          <w:szCs w:val="24"/>
        </w:rPr>
      </w:pPr>
      <w:r w:rsidRPr="00462B48">
        <w:rPr>
          <w:rFonts w:ascii="Times New Roman" w:hAnsi="Times New Roman" w:cs="Times New Roman"/>
          <w:sz w:val="24"/>
          <w:szCs w:val="24"/>
        </w:rPr>
        <w:t>The adopted fee schedule so specifies; or</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7"/>
        </w:numPr>
        <w:spacing w:after="0" w:line="240" w:lineRule="auto"/>
        <w:jc w:val="both"/>
        <w:rPr>
          <w:rFonts w:ascii="Times New Roman" w:hAnsi="Times New Roman" w:cs="Times New Roman"/>
          <w:sz w:val="24"/>
          <w:szCs w:val="24"/>
        </w:rPr>
      </w:pPr>
      <w:r w:rsidRPr="00462B48">
        <w:rPr>
          <w:rFonts w:ascii="Times New Roman" w:hAnsi="Times New Roman" w:cs="Times New Roman"/>
          <w:sz w:val="24"/>
          <w:szCs w:val="24"/>
        </w:rPr>
        <w:t>The Director determines that insufficient generalized information is available to permit a determination that the use falls within one of the specified use categories.</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7"/>
        </w:numPr>
        <w:spacing w:after="0" w:line="240" w:lineRule="auto"/>
        <w:jc w:val="both"/>
        <w:rPr>
          <w:rFonts w:ascii="Times New Roman" w:hAnsi="Times New Roman" w:cs="Times New Roman"/>
          <w:sz w:val="24"/>
          <w:szCs w:val="24"/>
        </w:rPr>
      </w:pPr>
      <w:r w:rsidRPr="00EA3578">
        <w:rPr>
          <w:rFonts w:ascii="Times New Roman" w:hAnsi="Times New Roman" w:cs="Times New Roman"/>
          <w:sz w:val="24"/>
          <w:szCs w:val="24"/>
        </w:rPr>
        <w:t xml:space="preserve">Any application for a non-residential project where an individualized fee determination is required pursuant to this Section shall be accompanied by information sufficient to enable the Director to make a determination of employee generation or density. The  determination  of  employee  generation or </w:t>
      </w:r>
      <w:r w:rsidRPr="00EA3578">
        <w:rPr>
          <w:rFonts w:ascii="Times New Roman" w:hAnsi="Times New Roman" w:cs="Times New Roman"/>
          <w:sz w:val="24"/>
          <w:szCs w:val="24"/>
        </w:rPr>
        <w:lastRenderedPageBreak/>
        <w:t>density  shall  be  based  on:  data concerning  anticipated  employee  generation or density  for  the  project  submitted  by  the applicant; employment surveys or other research on similar uses submitted by the applicant or independently researched by the Director; or any other data or information the Director determines relevant.  Based on the evidence submitted, the Director shall determine the most similar land use category, or shall establish a mixed fee, as appropriate.</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0"/>
          <w:numId w:val="17"/>
        </w:numPr>
        <w:spacing w:after="0" w:line="240" w:lineRule="auto"/>
        <w:jc w:val="both"/>
        <w:rPr>
          <w:rFonts w:ascii="Times New Roman" w:hAnsi="Times New Roman" w:cs="Times New Roman"/>
          <w:sz w:val="24"/>
          <w:szCs w:val="24"/>
        </w:rPr>
      </w:pPr>
      <w:r w:rsidRPr="00D022F4">
        <w:rPr>
          <w:rFonts w:ascii="Times New Roman" w:hAnsi="Times New Roman" w:cs="Times New Roman"/>
          <w:b/>
          <w:sz w:val="24"/>
          <w:szCs w:val="24"/>
        </w:rPr>
        <w:t>Appeal.</w:t>
      </w:r>
      <w:r>
        <w:rPr>
          <w:rFonts w:ascii="Times New Roman" w:hAnsi="Times New Roman" w:cs="Times New Roman"/>
          <w:sz w:val="24"/>
          <w:szCs w:val="24"/>
        </w:rPr>
        <w:t xml:space="preserve"> </w:t>
      </w:r>
      <w:r w:rsidRPr="00EA3578">
        <w:rPr>
          <w:rFonts w:ascii="Times New Roman" w:hAnsi="Times New Roman" w:cs="Times New Roman"/>
          <w:sz w:val="24"/>
          <w:szCs w:val="24"/>
        </w:rPr>
        <w:t xml:space="preserve">An applicant may appeal the Director’s fee determination to the </w:t>
      </w:r>
      <w:r>
        <w:rPr>
          <w:rFonts w:ascii="Times New Roman" w:hAnsi="Times New Roman" w:cs="Times New Roman"/>
          <w:sz w:val="24"/>
          <w:szCs w:val="24"/>
        </w:rPr>
        <w:t>Commission</w:t>
      </w:r>
      <w:r w:rsidRPr="00EA3578">
        <w:rPr>
          <w:rFonts w:ascii="Times New Roman" w:hAnsi="Times New Roman" w:cs="Times New Roman"/>
          <w:sz w:val="24"/>
          <w:szCs w:val="24"/>
        </w:rPr>
        <w:t xml:space="preserve"> according to provisions of Chapter 17.104 (Appeals) of the Municipal Code.</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17"/>
        </w:numPr>
        <w:spacing w:after="0" w:line="240" w:lineRule="auto"/>
        <w:jc w:val="both"/>
        <w:rPr>
          <w:rFonts w:ascii="Times New Roman" w:hAnsi="Times New Roman" w:cs="Times New Roman"/>
          <w:sz w:val="24"/>
          <w:szCs w:val="24"/>
        </w:rPr>
      </w:pPr>
      <w:r w:rsidRPr="00EA3578">
        <w:rPr>
          <w:rFonts w:ascii="Times New Roman" w:hAnsi="Times New Roman" w:cs="Times New Roman"/>
          <w:b/>
          <w:sz w:val="24"/>
          <w:szCs w:val="24"/>
        </w:rPr>
        <w:t>Refund or Rebate of Housing Fees Based on Conversion of Use.</w:t>
      </w:r>
      <w:r w:rsidRPr="00EA3578">
        <w:rPr>
          <w:rFonts w:ascii="Times New Roman" w:hAnsi="Times New Roman" w:cs="Times New Roman"/>
          <w:sz w:val="24"/>
          <w:szCs w:val="24"/>
        </w:rPr>
        <w:t xml:space="preserve">  No refund or rebate of housing fees previously paid shall be made in the case of conversion from one use with a higher housing fee to one with a lesser housing fee, or conversion from a non-exempt to an exempt use.</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17"/>
        </w:numPr>
        <w:spacing w:after="0" w:line="240" w:lineRule="auto"/>
        <w:jc w:val="both"/>
        <w:rPr>
          <w:rFonts w:ascii="Times New Roman" w:hAnsi="Times New Roman" w:cs="Times New Roman"/>
          <w:b/>
          <w:sz w:val="24"/>
          <w:szCs w:val="24"/>
        </w:rPr>
      </w:pPr>
      <w:r w:rsidRPr="00D022F4">
        <w:rPr>
          <w:rFonts w:ascii="Times New Roman" w:hAnsi="Times New Roman" w:cs="Times New Roman"/>
          <w:b/>
          <w:sz w:val="24"/>
          <w:szCs w:val="24"/>
        </w:rPr>
        <w:t>Housing Fees Established.</w:t>
      </w:r>
    </w:p>
    <w:p w:rsidR="00CD73A6" w:rsidRDefault="00CD73A6" w:rsidP="00CD73A6">
      <w:pPr>
        <w:pStyle w:val="ListParagraph"/>
        <w:spacing w:after="0" w:line="240" w:lineRule="auto"/>
        <w:jc w:val="both"/>
        <w:rPr>
          <w:rFonts w:ascii="Times New Roman" w:hAnsi="Times New Roman" w:cs="Times New Roman"/>
          <w:b/>
          <w:sz w:val="24"/>
          <w:szCs w:val="24"/>
        </w:rPr>
      </w:pPr>
    </w:p>
    <w:p w:rsidR="00CD73A6" w:rsidRPr="00D022F4" w:rsidRDefault="00CD73A6" w:rsidP="00CD73A6">
      <w:pPr>
        <w:pStyle w:val="ListParagraph"/>
        <w:numPr>
          <w:ilvl w:val="1"/>
          <w:numId w:val="1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Established by Council Resolution. </w:t>
      </w:r>
      <w:r w:rsidRPr="00D022F4">
        <w:rPr>
          <w:rFonts w:ascii="Times New Roman" w:hAnsi="Times New Roman" w:cs="Times New Roman"/>
          <w:sz w:val="24"/>
          <w:szCs w:val="24"/>
        </w:rPr>
        <w:t xml:space="preserve">All housing fees shall be established by resolution of the Town Council. </w:t>
      </w:r>
    </w:p>
    <w:p w:rsidR="00CD73A6" w:rsidRPr="00D022F4" w:rsidRDefault="00CD73A6" w:rsidP="00CD73A6">
      <w:pPr>
        <w:pStyle w:val="ListParagraph"/>
        <w:spacing w:after="0" w:line="240" w:lineRule="auto"/>
        <w:ind w:left="1440"/>
        <w:jc w:val="both"/>
        <w:rPr>
          <w:rFonts w:ascii="Times New Roman" w:hAnsi="Times New Roman" w:cs="Times New Roman"/>
          <w:b/>
          <w:sz w:val="24"/>
          <w:szCs w:val="24"/>
        </w:rPr>
      </w:pPr>
    </w:p>
    <w:p w:rsidR="00CD73A6" w:rsidRPr="00107063" w:rsidRDefault="00CD73A6" w:rsidP="00CD73A6">
      <w:pPr>
        <w:pStyle w:val="ListParagraph"/>
        <w:numPr>
          <w:ilvl w:val="1"/>
          <w:numId w:val="1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Methodology. </w:t>
      </w:r>
      <w:r>
        <w:rPr>
          <w:rFonts w:ascii="Times New Roman" w:hAnsi="Times New Roman" w:cs="Times New Roman"/>
          <w:sz w:val="24"/>
          <w:szCs w:val="24"/>
        </w:rPr>
        <w:t xml:space="preserve">Housing fees </w:t>
      </w:r>
      <w:r w:rsidRPr="00D022F4">
        <w:rPr>
          <w:rFonts w:ascii="Times New Roman" w:hAnsi="Times New Roman" w:cs="Times New Roman"/>
          <w:sz w:val="24"/>
          <w:szCs w:val="24"/>
        </w:rPr>
        <w:t>shall not exceed the cost of mitigating the impact of market-rate residential and non-residential projects on the need for workforce housing in the town, based on an approved nexus study.</w:t>
      </w:r>
      <w:r>
        <w:rPr>
          <w:rFonts w:ascii="Times New Roman" w:hAnsi="Times New Roman" w:cs="Times New Roman"/>
          <w:sz w:val="24"/>
          <w:szCs w:val="24"/>
        </w:rPr>
        <w:t xml:space="preserve"> </w:t>
      </w:r>
      <w:r w:rsidRPr="00D022F4">
        <w:rPr>
          <w:rFonts w:ascii="Times New Roman" w:hAnsi="Times New Roman" w:cs="Times New Roman"/>
          <w:sz w:val="24"/>
          <w:szCs w:val="24"/>
        </w:rPr>
        <w:t>Housing fees shall be established per unit for for-sale transient and non-transient residential uses; per room for lodging uses; and per gross square foot for non-residential uses (office, retail, restaurant, and industrial).</w:t>
      </w:r>
    </w:p>
    <w:p w:rsidR="00CD73A6" w:rsidRPr="00107063" w:rsidRDefault="00CD73A6" w:rsidP="00CD73A6">
      <w:pPr>
        <w:pStyle w:val="ListParagraph"/>
        <w:spacing w:after="0" w:line="240" w:lineRule="auto"/>
        <w:ind w:left="1440"/>
        <w:jc w:val="both"/>
        <w:rPr>
          <w:rFonts w:ascii="Times New Roman" w:hAnsi="Times New Roman" w:cs="Times New Roman"/>
          <w:b/>
          <w:sz w:val="24"/>
          <w:szCs w:val="24"/>
        </w:rPr>
      </w:pPr>
    </w:p>
    <w:p w:rsidR="00CD73A6" w:rsidRPr="00107063" w:rsidRDefault="00CD73A6" w:rsidP="00CD73A6">
      <w:pPr>
        <w:pStyle w:val="ListParagraph"/>
        <w:numPr>
          <w:ilvl w:val="1"/>
          <w:numId w:val="17"/>
        </w:numPr>
        <w:spacing w:after="0" w:line="240" w:lineRule="auto"/>
        <w:jc w:val="both"/>
        <w:rPr>
          <w:rFonts w:ascii="Times New Roman" w:hAnsi="Times New Roman" w:cs="Times New Roman"/>
          <w:b/>
          <w:sz w:val="24"/>
          <w:szCs w:val="24"/>
        </w:rPr>
      </w:pPr>
      <w:r w:rsidRPr="00107063">
        <w:rPr>
          <w:rFonts w:ascii="Times New Roman" w:hAnsi="Times New Roman" w:cs="Times New Roman"/>
          <w:b/>
          <w:sz w:val="24"/>
          <w:szCs w:val="24"/>
        </w:rPr>
        <w:t>Review and Update.</w:t>
      </w:r>
      <w:r>
        <w:rPr>
          <w:rFonts w:ascii="Times New Roman" w:hAnsi="Times New Roman" w:cs="Times New Roman"/>
          <w:sz w:val="24"/>
          <w:szCs w:val="24"/>
        </w:rPr>
        <w:t xml:space="preserve"> </w:t>
      </w:r>
      <w:r w:rsidRPr="00107063">
        <w:rPr>
          <w:rFonts w:ascii="Times New Roman" w:hAnsi="Times New Roman" w:cs="Times New Roman"/>
          <w:sz w:val="24"/>
          <w:szCs w:val="24"/>
        </w:rPr>
        <w:t>The Town Council shall periodically review the housing fees for various land uses including residential, lodging and non-residential developments and adjust the fees by resolution.  At a minimum the housing fees shall be reviewed and, if appropriate, revised at the time of each Housing Element update.   The Town Manager shall prepare a recommendation to the Council for such fee revision.</w:t>
      </w:r>
    </w:p>
    <w:p w:rsidR="00CD73A6" w:rsidRPr="00107063" w:rsidRDefault="00CD73A6" w:rsidP="00CD73A6">
      <w:pPr>
        <w:pStyle w:val="ListParagraph"/>
        <w:spacing w:after="0" w:line="240" w:lineRule="auto"/>
        <w:ind w:left="1440"/>
        <w:jc w:val="both"/>
        <w:rPr>
          <w:rFonts w:ascii="Times New Roman" w:hAnsi="Times New Roman" w:cs="Times New Roman"/>
          <w:b/>
          <w:sz w:val="24"/>
          <w:szCs w:val="24"/>
        </w:rPr>
      </w:pPr>
    </w:p>
    <w:p w:rsidR="00CD73A6" w:rsidRPr="00107063" w:rsidRDefault="00CD73A6" w:rsidP="00CD73A6">
      <w:pPr>
        <w:pStyle w:val="ListParagraph"/>
        <w:numPr>
          <w:ilvl w:val="1"/>
          <w:numId w:val="17"/>
        </w:numPr>
        <w:spacing w:after="0" w:line="240" w:lineRule="auto"/>
        <w:jc w:val="both"/>
        <w:rPr>
          <w:rFonts w:ascii="Times New Roman" w:hAnsi="Times New Roman" w:cs="Times New Roman"/>
          <w:b/>
          <w:sz w:val="24"/>
          <w:szCs w:val="24"/>
        </w:rPr>
      </w:pPr>
      <w:r w:rsidRPr="00107063">
        <w:rPr>
          <w:rFonts w:ascii="Times New Roman" w:hAnsi="Times New Roman" w:cs="Times New Roman"/>
          <w:b/>
          <w:sz w:val="24"/>
          <w:szCs w:val="24"/>
        </w:rPr>
        <w:t>Use of Housing Fees.</w:t>
      </w:r>
      <w:r>
        <w:rPr>
          <w:rFonts w:ascii="Times New Roman" w:hAnsi="Times New Roman" w:cs="Times New Roman"/>
          <w:sz w:val="24"/>
          <w:szCs w:val="24"/>
        </w:rPr>
        <w:t xml:space="preserve">  </w:t>
      </w:r>
      <w:r w:rsidRPr="00107063">
        <w:rPr>
          <w:rFonts w:ascii="Times New Roman" w:hAnsi="Times New Roman" w:cs="Times New Roman"/>
          <w:sz w:val="24"/>
          <w:szCs w:val="24"/>
        </w:rPr>
        <w:t>Fees collected pursuant</w:t>
      </w:r>
      <w:r>
        <w:rPr>
          <w:rFonts w:ascii="Times New Roman" w:hAnsi="Times New Roman" w:cs="Times New Roman"/>
          <w:sz w:val="24"/>
          <w:szCs w:val="24"/>
        </w:rPr>
        <w:t xml:space="preserve"> to this C</w:t>
      </w:r>
      <w:r w:rsidRPr="00107063">
        <w:rPr>
          <w:rFonts w:ascii="Times New Roman" w:hAnsi="Times New Roman" w:cs="Times New Roman"/>
          <w:sz w:val="24"/>
          <w:szCs w:val="24"/>
        </w:rPr>
        <w:t>hapter shall be placed in a separate fund of the Town and shall be used only for the purposes of planning for, administering, subsidizing, or developing workforce housing</w:t>
      </w:r>
      <w:r>
        <w:rPr>
          <w:rFonts w:ascii="Times New Roman" w:hAnsi="Times New Roman" w:cs="Times New Roman"/>
          <w:sz w:val="24"/>
          <w:szCs w:val="24"/>
        </w:rPr>
        <w:t xml:space="preserve"> within the Town limits</w:t>
      </w:r>
      <w:r w:rsidRPr="00107063">
        <w:rPr>
          <w:rFonts w:ascii="Times New Roman" w:hAnsi="Times New Roman" w:cs="Times New Roman"/>
          <w:sz w:val="24"/>
          <w:szCs w:val="24"/>
        </w:rPr>
        <w:t>.</w:t>
      </w:r>
      <w:r>
        <w:rPr>
          <w:rFonts w:ascii="Times New Roman" w:hAnsi="Times New Roman" w:cs="Times New Roman"/>
          <w:sz w:val="24"/>
          <w:szCs w:val="24"/>
        </w:rPr>
        <w:t xml:space="preserve"> The Council may set specific direction, consistent with this Subsection, for use of these funds through the Council resolution establishing the fees. </w:t>
      </w:r>
    </w:p>
    <w:p w:rsidR="00CD73A6" w:rsidRPr="0049480E" w:rsidRDefault="00CD73A6" w:rsidP="00CD73A6">
      <w:pPr>
        <w:rPr>
          <w:szCs w:val="24"/>
        </w:rPr>
      </w:pPr>
    </w:p>
    <w:p w:rsidR="00CD73A6" w:rsidRDefault="00CD73A6" w:rsidP="00CD73A6">
      <w:pPr>
        <w:rPr>
          <w:b/>
          <w:szCs w:val="24"/>
        </w:rPr>
      </w:pPr>
      <w:r w:rsidRPr="00DE5F83">
        <w:rPr>
          <w:b/>
          <w:szCs w:val="24"/>
        </w:rPr>
        <w:t>17.136.050 – On-S</w:t>
      </w:r>
      <w:r>
        <w:rPr>
          <w:b/>
          <w:szCs w:val="24"/>
        </w:rPr>
        <w:t>ite Provision of Units</w:t>
      </w:r>
    </w:p>
    <w:p w:rsidR="00CD73A6" w:rsidRPr="00DE5F83" w:rsidRDefault="00CD73A6" w:rsidP="00CD73A6">
      <w:pPr>
        <w:rPr>
          <w:b/>
          <w:szCs w:val="24"/>
        </w:rPr>
      </w:pPr>
    </w:p>
    <w:p w:rsidR="00CD73A6" w:rsidRDefault="00CD73A6" w:rsidP="00CD73A6">
      <w:pPr>
        <w:pStyle w:val="ListParagraph"/>
        <w:numPr>
          <w:ilvl w:val="0"/>
          <w:numId w:val="18"/>
        </w:numPr>
        <w:spacing w:after="0" w:line="240" w:lineRule="auto"/>
        <w:jc w:val="both"/>
        <w:rPr>
          <w:rFonts w:ascii="Times New Roman" w:hAnsi="Times New Roman" w:cs="Times New Roman"/>
          <w:sz w:val="24"/>
          <w:szCs w:val="24"/>
        </w:rPr>
      </w:pPr>
      <w:r w:rsidRPr="00F97560">
        <w:rPr>
          <w:rFonts w:ascii="Times New Roman" w:hAnsi="Times New Roman" w:cs="Times New Roman"/>
          <w:b/>
          <w:sz w:val="24"/>
          <w:szCs w:val="24"/>
        </w:rPr>
        <w:t>Applicable to Residential Developments.</w:t>
      </w:r>
      <w:r>
        <w:rPr>
          <w:rFonts w:ascii="Times New Roman" w:hAnsi="Times New Roman" w:cs="Times New Roman"/>
          <w:sz w:val="24"/>
          <w:szCs w:val="24"/>
        </w:rPr>
        <w:t xml:space="preserve"> </w:t>
      </w:r>
      <w:r w:rsidRPr="00A12697">
        <w:rPr>
          <w:rFonts w:ascii="Times New Roman" w:hAnsi="Times New Roman" w:cs="Times New Roman"/>
          <w:sz w:val="24"/>
          <w:szCs w:val="24"/>
        </w:rPr>
        <w:t xml:space="preserve">Transient and non-transient residential ownership developments including condominiums, fractional ownership, </w:t>
      </w:r>
      <w:r>
        <w:rPr>
          <w:rFonts w:ascii="Times New Roman" w:hAnsi="Times New Roman" w:cs="Times New Roman"/>
          <w:sz w:val="24"/>
          <w:szCs w:val="24"/>
        </w:rPr>
        <w:t xml:space="preserve">residential </w:t>
      </w:r>
      <w:r>
        <w:rPr>
          <w:rFonts w:ascii="Times New Roman" w:hAnsi="Times New Roman" w:cs="Times New Roman"/>
          <w:sz w:val="24"/>
          <w:szCs w:val="24"/>
        </w:rPr>
        <w:lastRenderedPageBreak/>
        <w:t>ownership components of mixed-use projects,</w:t>
      </w:r>
      <w:r w:rsidRPr="00A12697">
        <w:rPr>
          <w:rFonts w:ascii="Times New Roman" w:hAnsi="Times New Roman" w:cs="Times New Roman"/>
          <w:sz w:val="24"/>
          <w:szCs w:val="24"/>
        </w:rPr>
        <w:t xml:space="preserve"> and single family or other subdivisions may propose to provide on-site unit(s) to satisfy the housing mitigation requirement for the development. The cost to the developer of such on-site unit</w:t>
      </w:r>
      <w:r>
        <w:rPr>
          <w:rFonts w:ascii="Times New Roman" w:hAnsi="Times New Roman" w:cs="Times New Roman"/>
          <w:sz w:val="24"/>
          <w:szCs w:val="24"/>
        </w:rPr>
        <w:t>(</w:t>
      </w:r>
      <w:r w:rsidRPr="00A12697">
        <w:rPr>
          <w:rFonts w:ascii="Times New Roman" w:hAnsi="Times New Roman" w:cs="Times New Roman"/>
          <w:sz w:val="24"/>
          <w:szCs w:val="24"/>
        </w:rPr>
        <w:t>s</w:t>
      </w:r>
      <w:r>
        <w:rPr>
          <w:rFonts w:ascii="Times New Roman" w:hAnsi="Times New Roman" w:cs="Times New Roman"/>
          <w:sz w:val="24"/>
          <w:szCs w:val="24"/>
        </w:rPr>
        <w:t>)</w:t>
      </w:r>
      <w:r w:rsidRPr="00A12697">
        <w:rPr>
          <w:rFonts w:ascii="Times New Roman" w:hAnsi="Times New Roman" w:cs="Times New Roman"/>
          <w:sz w:val="24"/>
          <w:szCs w:val="24"/>
        </w:rPr>
        <w:t xml:space="preserve"> shall not be required to exceed the </w:t>
      </w:r>
      <w:r>
        <w:rPr>
          <w:rFonts w:ascii="Times New Roman" w:hAnsi="Times New Roman" w:cs="Times New Roman"/>
          <w:sz w:val="24"/>
          <w:szCs w:val="24"/>
        </w:rPr>
        <w:t xml:space="preserve">amount </w:t>
      </w:r>
      <w:r w:rsidRPr="00A12697">
        <w:rPr>
          <w:rFonts w:ascii="Times New Roman" w:hAnsi="Times New Roman" w:cs="Times New Roman"/>
          <w:sz w:val="24"/>
          <w:szCs w:val="24"/>
        </w:rPr>
        <w:t xml:space="preserve">of the applicable housing fee pursuant to Section </w:t>
      </w:r>
      <w:r w:rsidRPr="005B0B3E">
        <w:rPr>
          <w:rFonts w:ascii="Times New Roman" w:hAnsi="Times New Roman" w:cs="Times New Roman"/>
          <w:sz w:val="24"/>
          <w:szCs w:val="24"/>
        </w:rPr>
        <w:t>17.136.040</w:t>
      </w:r>
      <w:r>
        <w:rPr>
          <w:rFonts w:ascii="Times New Roman" w:hAnsi="Times New Roman" w:cs="Times New Roman"/>
          <w:sz w:val="24"/>
          <w:szCs w:val="24"/>
        </w:rPr>
        <w:t>, and calculated as outlined in Subsection 17.136.050.B.5, below.</w:t>
      </w:r>
      <w:r w:rsidRPr="00A12697">
        <w:rPr>
          <w:rFonts w:ascii="Times New Roman" w:hAnsi="Times New Roman" w:cs="Times New Roman"/>
          <w:sz w:val="24"/>
          <w:szCs w:val="24"/>
        </w:rPr>
        <w:t xml:space="preserve"> </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18"/>
        </w:numPr>
        <w:spacing w:after="0" w:line="240" w:lineRule="auto"/>
        <w:jc w:val="both"/>
        <w:rPr>
          <w:rFonts w:ascii="Times New Roman" w:hAnsi="Times New Roman" w:cs="Times New Roman"/>
          <w:sz w:val="24"/>
          <w:szCs w:val="24"/>
        </w:rPr>
      </w:pPr>
      <w:r w:rsidRPr="0087399A">
        <w:rPr>
          <w:rFonts w:ascii="Times New Roman" w:hAnsi="Times New Roman" w:cs="Times New Roman"/>
          <w:b/>
          <w:sz w:val="24"/>
          <w:szCs w:val="24"/>
        </w:rPr>
        <w:t>On-Site Unit Requirements.</w:t>
      </w:r>
      <w:r>
        <w:rPr>
          <w:rFonts w:ascii="Times New Roman" w:hAnsi="Times New Roman" w:cs="Times New Roman"/>
          <w:sz w:val="24"/>
          <w:szCs w:val="24"/>
        </w:rPr>
        <w:t xml:space="preserve"> </w:t>
      </w:r>
      <w:r w:rsidRPr="00A12697">
        <w:rPr>
          <w:rFonts w:ascii="Times New Roman" w:hAnsi="Times New Roman" w:cs="Times New Roman"/>
          <w:sz w:val="24"/>
          <w:szCs w:val="24"/>
        </w:rPr>
        <w:t xml:space="preserve">The </w:t>
      </w:r>
      <w:r>
        <w:rPr>
          <w:rFonts w:ascii="Times New Roman" w:hAnsi="Times New Roman" w:cs="Times New Roman"/>
          <w:sz w:val="24"/>
          <w:szCs w:val="24"/>
        </w:rPr>
        <w:t xml:space="preserve">on-site </w:t>
      </w:r>
      <w:r w:rsidRPr="00A12697">
        <w:rPr>
          <w:rFonts w:ascii="Times New Roman" w:hAnsi="Times New Roman" w:cs="Times New Roman"/>
          <w:sz w:val="24"/>
          <w:szCs w:val="24"/>
        </w:rPr>
        <w:t>unit</w:t>
      </w:r>
      <w:r>
        <w:rPr>
          <w:rFonts w:ascii="Times New Roman" w:hAnsi="Times New Roman" w:cs="Times New Roman"/>
          <w:sz w:val="24"/>
          <w:szCs w:val="24"/>
        </w:rPr>
        <w:t>(</w:t>
      </w:r>
      <w:r w:rsidRPr="00A12697">
        <w:rPr>
          <w:rFonts w:ascii="Times New Roman" w:hAnsi="Times New Roman" w:cs="Times New Roman"/>
          <w:sz w:val="24"/>
          <w:szCs w:val="24"/>
        </w:rPr>
        <w:t>s</w:t>
      </w:r>
      <w:r>
        <w:rPr>
          <w:rFonts w:ascii="Times New Roman" w:hAnsi="Times New Roman" w:cs="Times New Roman"/>
          <w:sz w:val="24"/>
          <w:szCs w:val="24"/>
        </w:rPr>
        <w:t>)</w:t>
      </w:r>
      <w:r w:rsidRPr="00A12697">
        <w:rPr>
          <w:rFonts w:ascii="Times New Roman" w:hAnsi="Times New Roman" w:cs="Times New Roman"/>
          <w:sz w:val="24"/>
          <w:szCs w:val="24"/>
        </w:rPr>
        <w:t xml:space="preserve"> required to satisfy housing mitigation for a particular residential ownership development shall</w:t>
      </w:r>
      <w:r>
        <w:rPr>
          <w:rFonts w:ascii="Times New Roman" w:hAnsi="Times New Roman" w:cs="Times New Roman"/>
          <w:sz w:val="24"/>
          <w:szCs w:val="24"/>
        </w:rPr>
        <w:t xml:space="preserve"> comply with the following</w:t>
      </w:r>
      <w:r w:rsidRPr="00A12697">
        <w:rPr>
          <w:rFonts w:ascii="Times New Roman" w:hAnsi="Times New Roman" w:cs="Times New Roman"/>
          <w:sz w:val="24"/>
          <w:szCs w:val="24"/>
        </w:rPr>
        <w:t>:</w:t>
      </w:r>
    </w:p>
    <w:p w:rsidR="00CD73A6" w:rsidRPr="00065C97" w:rsidRDefault="00CD73A6" w:rsidP="00CD73A6">
      <w:pPr>
        <w:ind w:left="360"/>
        <w:rPr>
          <w:szCs w:val="24"/>
        </w:rPr>
      </w:pPr>
    </w:p>
    <w:p w:rsidR="00CD73A6" w:rsidRDefault="00CD73A6" w:rsidP="00CD73A6">
      <w:pPr>
        <w:pStyle w:val="ListParagraph"/>
        <w:numPr>
          <w:ilvl w:val="1"/>
          <w:numId w:val="18"/>
        </w:numPr>
        <w:spacing w:after="0" w:line="240" w:lineRule="auto"/>
        <w:jc w:val="both"/>
        <w:rPr>
          <w:rFonts w:ascii="Times New Roman" w:hAnsi="Times New Roman" w:cs="Times New Roman"/>
          <w:sz w:val="24"/>
          <w:szCs w:val="24"/>
        </w:rPr>
      </w:pPr>
      <w:r w:rsidRPr="00A12697">
        <w:rPr>
          <w:rFonts w:ascii="Times New Roman" w:hAnsi="Times New Roman" w:cs="Times New Roman"/>
          <w:sz w:val="24"/>
          <w:szCs w:val="24"/>
        </w:rPr>
        <w:t>The affordability level</w:t>
      </w:r>
      <w:r>
        <w:rPr>
          <w:rFonts w:ascii="Times New Roman" w:hAnsi="Times New Roman" w:cs="Times New Roman"/>
          <w:sz w:val="24"/>
          <w:szCs w:val="24"/>
        </w:rPr>
        <w:t>(s)</w:t>
      </w:r>
      <w:r w:rsidRPr="00A12697">
        <w:rPr>
          <w:rFonts w:ascii="Times New Roman" w:hAnsi="Times New Roman" w:cs="Times New Roman"/>
          <w:sz w:val="24"/>
          <w:szCs w:val="24"/>
        </w:rPr>
        <w:t xml:space="preserve"> of the unit(s) (stated as a proportion of Area Median Income (AMI)) shall </w:t>
      </w:r>
      <w:r>
        <w:rPr>
          <w:rFonts w:ascii="Times New Roman" w:hAnsi="Times New Roman" w:cs="Times New Roman"/>
          <w:sz w:val="24"/>
          <w:szCs w:val="24"/>
        </w:rPr>
        <w:t>comply with those</w:t>
      </w:r>
      <w:r w:rsidRPr="00A12697">
        <w:rPr>
          <w:rFonts w:ascii="Times New Roman" w:hAnsi="Times New Roman" w:cs="Times New Roman"/>
          <w:sz w:val="24"/>
          <w:szCs w:val="24"/>
        </w:rPr>
        <w:t xml:space="preserve"> established by Council resolution, which shall be periodically reviewed and updated. </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5B0B3E" w:rsidRDefault="00CD73A6" w:rsidP="00CD73A6">
      <w:pPr>
        <w:pStyle w:val="ListParagraph"/>
        <w:numPr>
          <w:ilvl w:val="1"/>
          <w:numId w:val="18"/>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 xml:space="preserve">Such units shall be for-sale units, unless the builder/developer chooses the rental alternative specified in Section </w:t>
      </w:r>
      <w:r w:rsidRPr="005B0B3E">
        <w:rPr>
          <w:rFonts w:ascii="Times New Roman" w:hAnsi="Times New Roman" w:cs="Times New Roman"/>
          <w:sz w:val="24"/>
          <w:szCs w:val="24"/>
        </w:rPr>
        <w:t>17.136.090 of this Chapter.</w:t>
      </w:r>
    </w:p>
    <w:p w:rsidR="00CD73A6" w:rsidRPr="005B0B3E"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8"/>
        </w:numPr>
        <w:spacing w:after="0" w:line="240" w:lineRule="auto"/>
        <w:jc w:val="both"/>
        <w:rPr>
          <w:rFonts w:ascii="Times New Roman" w:hAnsi="Times New Roman" w:cs="Times New Roman"/>
          <w:sz w:val="24"/>
          <w:szCs w:val="24"/>
        </w:rPr>
      </w:pPr>
      <w:r w:rsidRPr="005B0B3E">
        <w:rPr>
          <w:rFonts w:ascii="Times New Roman" w:hAnsi="Times New Roman" w:cs="Times New Roman"/>
          <w:sz w:val="24"/>
          <w:szCs w:val="24"/>
        </w:rPr>
        <w:t>The proposed o</w:t>
      </w:r>
      <w:r>
        <w:rPr>
          <w:rFonts w:ascii="Times New Roman" w:hAnsi="Times New Roman" w:cs="Times New Roman"/>
          <w:sz w:val="24"/>
          <w:szCs w:val="24"/>
        </w:rPr>
        <w:t>n</w:t>
      </w:r>
      <w:r w:rsidRPr="005B0B3E">
        <w:rPr>
          <w:rFonts w:ascii="Times New Roman" w:hAnsi="Times New Roman" w:cs="Times New Roman"/>
          <w:sz w:val="24"/>
          <w:szCs w:val="24"/>
        </w:rPr>
        <w:t>-site units shall meet or exceed the livability and design standards described in Section 17.136.120</w:t>
      </w:r>
      <w:r w:rsidRPr="0087399A">
        <w:rPr>
          <w:rFonts w:ascii="Times New Roman" w:hAnsi="Times New Roman" w:cs="Times New Roman"/>
          <w:sz w:val="24"/>
          <w:szCs w:val="24"/>
        </w:rPr>
        <w:t xml:space="preserve"> unless a waiver or modification to those standards has been approved by the Town.</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5B0B3E" w:rsidRDefault="00CD73A6" w:rsidP="00CD73A6">
      <w:pPr>
        <w:pStyle w:val="ListParagraph"/>
        <w:numPr>
          <w:ilvl w:val="1"/>
          <w:numId w:val="18"/>
        </w:numPr>
        <w:spacing w:after="0" w:line="240" w:lineRule="auto"/>
        <w:jc w:val="both"/>
        <w:rPr>
          <w:rFonts w:ascii="Times New Roman" w:hAnsi="Times New Roman" w:cs="Times New Roman"/>
          <w:sz w:val="24"/>
          <w:szCs w:val="24"/>
        </w:rPr>
      </w:pPr>
      <w:r w:rsidRPr="005B0B3E">
        <w:rPr>
          <w:rFonts w:ascii="Times New Roman" w:hAnsi="Times New Roman" w:cs="Times New Roman"/>
          <w:sz w:val="24"/>
          <w:szCs w:val="24"/>
        </w:rPr>
        <w:t>If the total cost to the developer to mitigate on-site would result in a fraction of a dwelling unit, the proportionate share of the housing fee described in Section 17.136.040 shall be paid for the fraction.</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w:t>
      </w:r>
      <w:r w:rsidRPr="00A12697">
        <w:rPr>
          <w:rFonts w:ascii="Times New Roman" w:hAnsi="Times New Roman" w:cs="Times New Roman"/>
          <w:sz w:val="24"/>
          <w:szCs w:val="24"/>
        </w:rPr>
        <w:t xml:space="preserve"> </w:t>
      </w:r>
      <w:r>
        <w:rPr>
          <w:rFonts w:ascii="Times New Roman" w:hAnsi="Times New Roman" w:cs="Times New Roman"/>
          <w:sz w:val="24"/>
          <w:szCs w:val="24"/>
        </w:rPr>
        <w:t xml:space="preserve">total </w:t>
      </w:r>
      <w:r w:rsidRPr="00A12697">
        <w:rPr>
          <w:rFonts w:ascii="Times New Roman" w:hAnsi="Times New Roman" w:cs="Times New Roman"/>
          <w:sz w:val="24"/>
          <w:szCs w:val="24"/>
        </w:rPr>
        <w:t xml:space="preserve">cost to the developer </w:t>
      </w:r>
      <w:r>
        <w:rPr>
          <w:rFonts w:ascii="Times New Roman" w:hAnsi="Times New Roman" w:cs="Times New Roman"/>
          <w:sz w:val="24"/>
          <w:szCs w:val="24"/>
        </w:rPr>
        <w:t>to mitigate on-site</w:t>
      </w:r>
      <w:r w:rsidRPr="00A12697">
        <w:rPr>
          <w:rFonts w:ascii="Times New Roman" w:hAnsi="Times New Roman" w:cs="Times New Roman"/>
          <w:sz w:val="24"/>
          <w:szCs w:val="24"/>
        </w:rPr>
        <w:t xml:space="preserve"> exceed</w:t>
      </w:r>
      <w:r>
        <w:rPr>
          <w:rFonts w:ascii="Times New Roman" w:hAnsi="Times New Roman" w:cs="Times New Roman"/>
          <w:sz w:val="24"/>
          <w:szCs w:val="24"/>
        </w:rPr>
        <w:t>s</w:t>
      </w:r>
      <w:r w:rsidRPr="00A12697">
        <w:rPr>
          <w:rFonts w:ascii="Times New Roman" w:hAnsi="Times New Roman" w:cs="Times New Roman"/>
          <w:sz w:val="24"/>
          <w:szCs w:val="24"/>
        </w:rPr>
        <w:t xml:space="preserve"> the </w:t>
      </w:r>
      <w:r>
        <w:rPr>
          <w:rFonts w:ascii="Times New Roman" w:hAnsi="Times New Roman" w:cs="Times New Roman"/>
          <w:sz w:val="24"/>
          <w:szCs w:val="24"/>
        </w:rPr>
        <w:t xml:space="preserve">amount </w:t>
      </w:r>
      <w:r w:rsidRPr="00A12697">
        <w:rPr>
          <w:rFonts w:ascii="Times New Roman" w:hAnsi="Times New Roman" w:cs="Times New Roman"/>
          <w:sz w:val="24"/>
          <w:szCs w:val="24"/>
        </w:rPr>
        <w:t xml:space="preserve">of the applicable housing fee pursuant to Section </w:t>
      </w:r>
      <w:r w:rsidRPr="005B0B3E">
        <w:rPr>
          <w:rFonts w:ascii="Times New Roman" w:hAnsi="Times New Roman" w:cs="Times New Roman"/>
          <w:sz w:val="24"/>
          <w:szCs w:val="24"/>
        </w:rPr>
        <w:t>17.136.040</w:t>
      </w:r>
      <w:r>
        <w:rPr>
          <w:rFonts w:ascii="Times New Roman" w:hAnsi="Times New Roman" w:cs="Times New Roman"/>
          <w:sz w:val="24"/>
          <w:szCs w:val="24"/>
        </w:rPr>
        <w:t xml:space="preserve">, the developer shall be assigned housing mitigation credit for the additional cost consistent with Section 17.136.030.B. and according to the following: </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spacing w:after="0" w:line="240" w:lineRule="auto"/>
        <w:ind w:left="1800"/>
        <w:jc w:val="both"/>
        <w:rPr>
          <w:rFonts w:ascii="Times New Roman" w:hAnsi="Times New Roman" w:cs="Times New Roman"/>
          <w:i/>
          <w:sz w:val="24"/>
          <w:szCs w:val="24"/>
        </w:rPr>
      </w:pPr>
      <w:r>
        <w:rPr>
          <w:rFonts w:ascii="Times New Roman" w:hAnsi="Times New Roman" w:cs="Times New Roman"/>
          <w:i/>
          <w:sz w:val="24"/>
          <w:szCs w:val="24"/>
        </w:rPr>
        <w:t>Total cost to developer (for-sale unit) = Total cost of construction of on-site unit(s) less unit(s) sales price(s) at target AMI level(s).</w:t>
      </w:r>
    </w:p>
    <w:p w:rsidR="00CD73A6" w:rsidRDefault="00CD73A6" w:rsidP="00CD73A6">
      <w:pPr>
        <w:pStyle w:val="ListParagraph"/>
        <w:spacing w:after="0" w:line="240" w:lineRule="auto"/>
        <w:ind w:left="1800"/>
        <w:jc w:val="both"/>
        <w:rPr>
          <w:rFonts w:ascii="Times New Roman" w:hAnsi="Times New Roman" w:cs="Times New Roman"/>
          <w:i/>
          <w:sz w:val="24"/>
          <w:szCs w:val="24"/>
        </w:rPr>
      </w:pPr>
    </w:p>
    <w:p w:rsidR="00CD73A6" w:rsidRDefault="00CD73A6" w:rsidP="00CD73A6">
      <w:pPr>
        <w:pStyle w:val="ListParagraph"/>
        <w:spacing w:after="0" w:line="240" w:lineRule="auto"/>
        <w:ind w:left="1800"/>
        <w:jc w:val="both"/>
        <w:rPr>
          <w:rFonts w:ascii="Times New Roman" w:hAnsi="Times New Roman" w:cs="Times New Roman"/>
          <w:i/>
          <w:sz w:val="24"/>
          <w:szCs w:val="24"/>
        </w:rPr>
      </w:pPr>
      <w:r>
        <w:rPr>
          <w:rFonts w:ascii="Times New Roman" w:hAnsi="Times New Roman" w:cs="Times New Roman"/>
          <w:i/>
          <w:sz w:val="24"/>
          <w:szCs w:val="24"/>
        </w:rPr>
        <w:t>Total cost to developer (rental unit) = Total cost of construction</w:t>
      </w:r>
      <w:r w:rsidRPr="00DB4AC4">
        <w:rPr>
          <w:rFonts w:ascii="Times New Roman" w:hAnsi="Times New Roman" w:cs="Times New Roman"/>
          <w:i/>
          <w:sz w:val="24"/>
          <w:szCs w:val="24"/>
        </w:rPr>
        <w:t xml:space="preserve"> </w:t>
      </w:r>
      <w:r>
        <w:rPr>
          <w:rFonts w:ascii="Times New Roman" w:hAnsi="Times New Roman" w:cs="Times New Roman"/>
          <w:i/>
          <w:sz w:val="24"/>
          <w:szCs w:val="24"/>
        </w:rPr>
        <w:t>of on-site unit(s) less net present value(s) of rents at target AMI level(s) over 30 years based on a documented cap rate.</w:t>
      </w:r>
    </w:p>
    <w:p w:rsidR="00CD73A6" w:rsidRDefault="00CD73A6" w:rsidP="00CD73A6">
      <w:pPr>
        <w:pStyle w:val="ListParagraph"/>
        <w:spacing w:after="0" w:line="240" w:lineRule="auto"/>
        <w:ind w:left="1800"/>
        <w:jc w:val="both"/>
        <w:rPr>
          <w:rFonts w:ascii="Times New Roman" w:hAnsi="Times New Roman" w:cs="Times New Roman"/>
          <w:i/>
          <w:sz w:val="24"/>
          <w:szCs w:val="24"/>
        </w:rPr>
      </w:pPr>
    </w:p>
    <w:p w:rsidR="00CD73A6" w:rsidRDefault="00CD73A6" w:rsidP="00CD73A6">
      <w:pPr>
        <w:pStyle w:val="ListParagraph"/>
        <w:spacing w:after="0" w:line="240" w:lineRule="auto"/>
        <w:ind w:left="1800"/>
        <w:jc w:val="both"/>
        <w:rPr>
          <w:rFonts w:ascii="Times New Roman" w:hAnsi="Times New Roman" w:cs="Times New Roman"/>
          <w:sz w:val="24"/>
          <w:szCs w:val="24"/>
        </w:rPr>
      </w:pPr>
      <w:r>
        <w:rPr>
          <w:rFonts w:ascii="Times New Roman" w:hAnsi="Times New Roman" w:cs="Times New Roman"/>
          <w:i/>
          <w:sz w:val="24"/>
          <w:szCs w:val="24"/>
        </w:rPr>
        <w:t xml:space="preserve">Total cost of construction includes land </w:t>
      </w:r>
      <w:proofErr w:type="gramStart"/>
      <w:r>
        <w:rPr>
          <w:rFonts w:ascii="Times New Roman" w:hAnsi="Times New Roman" w:cs="Times New Roman"/>
          <w:i/>
          <w:sz w:val="24"/>
          <w:szCs w:val="24"/>
        </w:rPr>
        <w:t>cost,</w:t>
      </w:r>
      <w:proofErr w:type="gramEnd"/>
      <w:r>
        <w:rPr>
          <w:rFonts w:ascii="Times New Roman" w:hAnsi="Times New Roman" w:cs="Times New Roman"/>
          <w:i/>
          <w:sz w:val="24"/>
          <w:szCs w:val="24"/>
        </w:rPr>
        <w:t xml:space="preserve"> direct costs (e.g., labor and materials), indirect or “soft” costs (e.g., architecture, entitlement, marketing, etc.) specifically associated with the on-site mitigation unit(s).</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4C4457" w:rsidRDefault="00CD73A6" w:rsidP="00CD73A6">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The calculation of total cost shall include only those costs for meeting Workforce Housing Amenity and Design Standards. The developer shall provide a pro-forma document of those costs.</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972DB8" w:rsidRDefault="00CD73A6" w:rsidP="00CD73A6">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Application Requirements. </w:t>
      </w:r>
      <w:r>
        <w:rPr>
          <w:rFonts w:ascii="Times New Roman" w:hAnsi="Times New Roman" w:cs="Times New Roman"/>
          <w:sz w:val="24"/>
          <w:szCs w:val="24"/>
        </w:rPr>
        <w:t>If on-site mitigation housing is proposed, the applicant shall provide the following information for Town review, prior to project approval:</w:t>
      </w:r>
    </w:p>
    <w:p w:rsidR="00CD73A6" w:rsidRPr="00972DB8"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1"/>
          <w:numId w:val="18"/>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 xml:space="preserve">Identification of the location within the project of the </w:t>
      </w:r>
      <w:r>
        <w:rPr>
          <w:rFonts w:ascii="Times New Roman" w:hAnsi="Times New Roman" w:cs="Times New Roman"/>
          <w:sz w:val="24"/>
          <w:szCs w:val="24"/>
        </w:rPr>
        <w:t>mitigation</w:t>
      </w:r>
      <w:r w:rsidRPr="00972DB8">
        <w:rPr>
          <w:rFonts w:ascii="Times New Roman" w:hAnsi="Times New Roman" w:cs="Times New Roman"/>
          <w:sz w:val="24"/>
          <w:szCs w:val="24"/>
        </w:rPr>
        <w:t xml:space="preserve"> unit</w:t>
      </w:r>
      <w:r>
        <w:rPr>
          <w:rFonts w:ascii="Times New Roman" w:hAnsi="Times New Roman" w:cs="Times New Roman"/>
          <w:sz w:val="24"/>
          <w:szCs w:val="24"/>
        </w:rPr>
        <w:t>(</w:t>
      </w:r>
      <w:r w:rsidRPr="00972DB8">
        <w:rPr>
          <w:rFonts w:ascii="Times New Roman" w:hAnsi="Times New Roman" w:cs="Times New Roman"/>
          <w:sz w:val="24"/>
          <w:szCs w:val="24"/>
        </w:rPr>
        <w:t>s</w:t>
      </w:r>
      <w:r>
        <w:rPr>
          <w:rFonts w:ascii="Times New Roman" w:hAnsi="Times New Roman" w:cs="Times New Roman"/>
          <w:sz w:val="24"/>
          <w:szCs w:val="24"/>
        </w:rPr>
        <w:t>)</w:t>
      </w:r>
      <w:r w:rsidRPr="00972DB8">
        <w:rPr>
          <w:rFonts w:ascii="Times New Roman" w:hAnsi="Times New Roman" w:cs="Times New Roman"/>
          <w:sz w:val="24"/>
          <w:szCs w:val="24"/>
        </w:rPr>
        <w:t>.</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8"/>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A description and floor plan of the proposed unit</w:t>
      </w:r>
      <w:r>
        <w:rPr>
          <w:rFonts w:ascii="Times New Roman" w:hAnsi="Times New Roman" w:cs="Times New Roman"/>
          <w:sz w:val="24"/>
          <w:szCs w:val="24"/>
        </w:rPr>
        <w:t>(</w:t>
      </w:r>
      <w:r w:rsidRPr="00972DB8">
        <w:rPr>
          <w:rFonts w:ascii="Times New Roman" w:hAnsi="Times New Roman" w:cs="Times New Roman"/>
          <w:sz w:val="24"/>
          <w:szCs w:val="24"/>
        </w:rPr>
        <w:t>s</w:t>
      </w:r>
      <w:r>
        <w:rPr>
          <w:rFonts w:ascii="Times New Roman" w:hAnsi="Times New Roman" w:cs="Times New Roman"/>
          <w:sz w:val="24"/>
          <w:szCs w:val="24"/>
        </w:rPr>
        <w:t>)</w:t>
      </w:r>
      <w:r w:rsidRPr="00972DB8">
        <w:rPr>
          <w:rFonts w:ascii="Times New Roman" w:hAnsi="Times New Roman" w:cs="Times New Roman"/>
          <w:sz w:val="24"/>
          <w:szCs w:val="24"/>
        </w:rPr>
        <w:t xml:space="preserve"> including habitable square footage, number of bedrooms, living areas, a</w:t>
      </w:r>
      <w:r>
        <w:rPr>
          <w:rFonts w:ascii="Times New Roman" w:hAnsi="Times New Roman" w:cs="Times New Roman"/>
          <w:sz w:val="24"/>
          <w:szCs w:val="24"/>
        </w:rPr>
        <w:t xml:space="preserve">nd proposed resident amenities. </w:t>
      </w:r>
      <w:r w:rsidRPr="00972DB8">
        <w:rPr>
          <w:rFonts w:ascii="Times New Roman" w:hAnsi="Times New Roman" w:cs="Times New Roman"/>
          <w:sz w:val="24"/>
          <w:szCs w:val="24"/>
        </w:rPr>
        <w:t xml:space="preserve">Such </w:t>
      </w:r>
      <w:r w:rsidRPr="005B0B3E">
        <w:rPr>
          <w:rFonts w:ascii="Times New Roman" w:hAnsi="Times New Roman" w:cs="Times New Roman"/>
          <w:sz w:val="24"/>
          <w:szCs w:val="24"/>
        </w:rPr>
        <w:t>information shall be provided in sufficient detail so as to permit an evaluation of the units’ conformance with the livability and design criteria set forth in Section 17.136.120.</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8"/>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 xml:space="preserve">The proposed timeframe for development of the </w:t>
      </w:r>
      <w:r>
        <w:rPr>
          <w:rFonts w:ascii="Times New Roman" w:hAnsi="Times New Roman" w:cs="Times New Roman"/>
          <w:sz w:val="24"/>
          <w:szCs w:val="24"/>
        </w:rPr>
        <w:t xml:space="preserve">mitigation </w:t>
      </w:r>
      <w:r w:rsidRPr="00972DB8">
        <w:rPr>
          <w:rFonts w:ascii="Times New Roman" w:hAnsi="Times New Roman" w:cs="Times New Roman"/>
          <w:sz w:val="24"/>
          <w:szCs w:val="24"/>
        </w:rPr>
        <w:t>unit</w:t>
      </w:r>
      <w:r>
        <w:rPr>
          <w:rFonts w:ascii="Times New Roman" w:hAnsi="Times New Roman" w:cs="Times New Roman"/>
          <w:sz w:val="24"/>
          <w:szCs w:val="24"/>
        </w:rPr>
        <w:t>(</w:t>
      </w:r>
      <w:r w:rsidRPr="00972DB8">
        <w:rPr>
          <w:rFonts w:ascii="Times New Roman" w:hAnsi="Times New Roman" w:cs="Times New Roman"/>
          <w:sz w:val="24"/>
          <w:szCs w:val="24"/>
        </w:rPr>
        <w:t>s</w:t>
      </w:r>
      <w:r>
        <w:rPr>
          <w:rFonts w:ascii="Times New Roman" w:hAnsi="Times New Roman" w:cs="Times New Roman"/>
          <w:sz w:val="24"/>
          <w:szCs w:val="24"/>
        </w:rPr>
        <w:t>)</w:t>
      </w:r>
      <w:r w:rsidRPr="00972DB8">
        <w:rPr>
          <w:rFonts w:ascii="Times New Roman" w:hAnsi="Times New Roman" w:cs="Times New Roman"/>
          <w:sz w:val="24"/>
          <w:szCs w:val="24"/>
        </w:rPr>
        <w:t>, including number of units to be provided within each phase of multi-phase projects.</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8"/>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The proposed sales price, or rental price if applicable (refer to Section 17.136.</w:t>
      </w:r>
      <w:r w:rsidRPr="005B0B3E">
        <w:rPr>
          <w:rFonts w:ascii="Times New Roman" w:hAnsi="Times New Roman" w:cs="Times New Roman"/>
          <w:sz w:val="24"/>
          <w:szCs w:val="24"/>
        </w:rPr>
        <w:t>090),</w:t>
      </w:r>
      <w:r w:rsidRPr="00972DB8">
        <w:rPr>
          <w:rFonts w:ascii="Times New Roman" w:hAnsi="Times New Roman" w:cs="Times New Roman"/>
          <w:sz w:val="24"/>
          <w:szCs w:val="24"/>
        </w:rPr>
        <w:t xml:space="preserve"> and calculation method or basis for establishing such price).</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972DB8" w:rsidRDefault="00CD73A6" w:rsidP="00CD73A6">
      <w:pPr>
        <w:pStyle w:val="ListParagraph"/>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Documentation demonstrating the cost to the developer of the provision of the on-site unit(s) through a standard pro forma statement.</w:t>
      </w:r>
    </w:p>
    <w:p w:rsidR="00CD73A6" w:rsidRPr="00972DB8"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18"/>
        </w:numPr>
        <w:spacing w:after="0" w:line="240" w:lineRule="auto"/>
        <w:jc w:val="both"/>
        <w:rPr>
          <w:rFonts w:ascii="Times New Roman" w:hAnsi="Times New Roman" w:cs="Times New Roman"/>
          <w:sz w:val="24"/>
          <w:szCs w:val="24"/>
        </w:rPr>
      </w:pPr>
      <w:r w:rsidRPr="00065C97">
        <w:rPr>
          <w:rFonts w:ascii="Times New Roman" w:hAnsi="Times New Roman" w:cs="Times New Roman"/>
          <w:b/>
          <w:sz w:val="24"/>
          <w:szCs w:val="24"/>
        </w:rPr>
        <w:t>Calculation of Project Density.</w:t>
      </w:r>
      <w:r>
        <w:rPr>
          <w:rFonts w:ascii="Times New Roman" w:hAnsi="Times New Roman" w:cs="Times New Roman"/>
          <w:sz w:val="24"/>
          <w:szCs w:val="24"/>
        </w:rPr>
        <w:t xml:space="preserve"> On-site housing</w:t>
      </w:r>
      <w:r w:rsidRPr="00065C97">
        <w:rPr>
          <w:rFonts w:ascii="Times New Roman" w:hAnsi="Times New Roman" w:cs="Times New Roman"/>
          <w:sz w:val="24"/>
          <w:szCs w:val="24"/>
        </w:rPr>
        <w:t xml:space="preserve"> units provided pursuant to this Section shall not count towards the calculation of total project density </w:t>
      </w:r>
      <w:r>
        <w:rPr>
          <w:rFonts w:ascii="Times New Roman" w:hAnsi="Times New Roman" w:cs="Times New Roman"/>
          <w:sz w:val="24"/>
          <w:szCs w:val="24"/>
        </w:rPr>
        <w:t>(i.e., rooms per acre or units per acre</w:t>
      </w:r>
      <w:r w:rsidRPr="00065C97">
        <w:rPr>
          <w:rFonts w:ascii="Times New Roman" w:hAnsi="Times New Roman" w:cs="Times New Roman"/>
          <w:sz w:val="24"/>
          <w:szCs w:val="24"/>
        </w:rPr>
        <w:t>) if all of the following conditions apply:</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1"/>
          <w:numId w:val="18"/>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 xml:space="preserve">The project fully satisfies its housing mitigation requirements on-site by providing on-site </w:t>
      </w:r>
      <w:r>
        <w:rPr>
          <w:rFonts w:ascii="Times New Roman" w:hAnsi="Times New Roman" w:cs="Times New Roman"/>
          <w:sz w:val="24"/>
          <w:szCs w:val="24"/>
        </w:rPr>
        <w:t>housing</w:t>
      </w:r>
      <w:r w:rsidRPr="00065C97">
        <w:rPr>
          <w:rFonts w:ascii="Times New Roman" w:hAnsi="Times New Roman" w:cs="Times New Roman"/>
          <w:sz w:val="24"/>
          <w:szCs w:val="24"/>
        </w:rPr>
        <w:t xml:space="preserve"> units consistent with the target AMI established by Council resolution;</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8"/>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The project is located  in the Downtown, Old Mammoth Road, Mixed Lodging/Residential,</w:t>
      </w:r>
      <w:r>
        <w:rPr>
          <w:rFonts w:ascii="Times New Roman" w:hAnsi="Times New Roman" w:cs="Times New Roman"/>
          <w:sz w:val="24"/>
          <w:szCs w:val="24"/>
        </w:rPr>
        <w:t xml:space="preserve"> or Residential Multi-Family 2 z</w:t>
      </w:r>
      <w:r w:rsidRPr="00065C97">
        <w:rPr>
          <w:rFonts w:ascii="Times New Roman" w:hAnsi="Times New Roman" w:cs="Times New Roman"/>
          <w:sz w:val="24"/>
          <w:szCs w:val="24"/>
        </w:rPr>
        <w:t xml:space="preserve">ones, or in an area subject to a specific plan or master plan that permits such an exclusion; </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applicable Floor Area Ratio (FAR) limit is not exceeded;</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065C97" w:rsidRDefault="00CD73A6" w:rsidP="00CD73A6">
      <w:pPr>
        <w:pStyle w:val="ListParagraph"/>
        <w:numPr>
          <w:ilvl w:val="1"/>
          <w:numId w:val="18"/>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The project has not applied for or received a State housing density bonus pursuant to Chapter 17.140; and</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8"/>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Findings can be made in conjunction with project approval that the total project density or intensity, considering all uses, would meet all applicable design and development standards of the Municipal Code, would not result in significant and unavoidable environmental impacts, and would be compatible with surrounding uses.</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ind w:left="720"/>
        <w:rPr>
          <w:szCs w:val="24"/>
        </w:rPr>
      </w:pPr>
      <w:r w:rsidRPr="004F77C4">
        <w:rPr>
          <w:szCs w:val="24"/>
        </w:rPr>
        <w:t>In all other cases, total project density, inclusive of provided on-site housing units, shall not exceed the maximum density for the zone in which the project is located, except as permitted by the provisions of Chapter 17.140 (Affordable Housing Density Bonuses and Incentives).</w:t>
      </w:r>
    </w:p>
    <w:p w:rsidR="00CD73A6" w:rsidRDefault="00CD73A6" w:rsidP="00CD73A6">
      <w:pPr>
        <w:ind w:left="720"/>
        <w:rPr>
          <w:szCs w:val="24"/>
        </w:rPr>
      </w:pPr>
    </w:p>
    <w:p w:rsidR="00CD73A6" w:rsidRPr="004F77C4" w:rsidRDefault="00CD73A6" w:rsidP="00CD73A6">
      <w:pPr>
        <w:ind w:left="720"/>
        <w:rPr>
          <w:szCs w:val="24"/>
        </w:rPr>
      </w:pPr>
      <w:r w:rsidRPr="004F77C4">
        <w:rPr>
          <w:szCs w:val="24"/>
        </w:rPr>
        <w:lastRenderedPageBreak/>
        <w:t>Pursuant to General Plan Policy L.2.D and Housing Element Action H.1.C.1, for housing development projects where all units are deed restricted for workforce housing, a density bonus may be granted in addition to any State housing density bonus pursuant to Chapter 17.140, up to a combined bonus of twice the density identified for the designation in which the project is located. The findings identified in Subsection D.4, above, shall be made by the Review Authority prior to granting a density bonus pursuant to this Subsection.</w:t>
      </w:r>
    </w:p>
    <w:p w:rsidR="00CD73A6" w:rsidRPr="0049480E" w:rsidRDefault="00CD73A6" w:rsidP="00CD73A6">
      <w:pPr>
        <w:rPr>
          <w:szCs w:val="24"/>
        </w:rPr>
      </w:pPr>
    </w:p>
    <w:p w:rsidR="00CD73A6" w:rsidRDefault="00CD73A6" w:rsidP="00CD73A6">
      <w:pPr>
        <w:rPr>
          <w:b/>
          <w:szCs w:val="24"/>
        </w:rPr>
      </w:pPr>
      <w:r>
        <w:rPr>
          <w:b/>
          <w:szCs w:val="24"/>
        </w:rPr>
        <w:t>17.136.06</w:t>
      </w:r>
      <w:r w:rsidRPr="00DE5F83">
        <w:rPr>
          <w:b/>
          <w:szCs w:val="24"/>
        </w:rPr>
        <w:t xml:space="preserve">0 – </w:t>
      </w:r>
      <w:r>
        <w:rPr>
          <w:b/>
          <w:szCs w:val="24"/>
        </w:rPr>
        <w:t>Off-Site Provision of Units</w:t>
      </w:r>
    </w:p>
    <w:p w:rsidR="00CD73A6" w:rsidRDefault="00CD73A6" w:rsidP="00CD73A6">
      <w:pPr>
        <w:rPr>
          <w:b/>
          <w:szCs w:val="24"/>
        </w:rPr>
      </w:pPr>
    </w:p>
    <w:p w:rsidR="00CD73A6" w:rsidRDefault="00CD73A6" w:rsidP="00CD73A6">
      <w:pPr>
        <w:pStyle w:val="ListParagraph"/>
        <w:numPr>
          <w:ilvl w:val="0"/>
          <w:numId w:val="19"/>
        </w:numPr>
        <w:spacing w:after="0" w:line="240" w:lineRule="auto"/>
        <w:jc w:val="both"/>
        <w:rPr>
          <w:rFonts w:ascii="Times New Roman" w:hAnsi="Times New Roman" w:cs="Times New Roman"/>
          <w:sz w:val="24"/>
          <w:szCs w:val="24"/>
        </w:rPr>
      </w:pPr>
      <w:r w:rsidRPr="001E0425">
        <w:rPr>
          <w:rFonts w:ascii="Times New Roman" w:hAnsi="Times New Roman" w:cs="Times New Roman"/>
          <w:b/>
          <w:sz w:val="24"/>
          <w:szCs w:val="24"/>
        </w:rPr>
        <w:t>Off-Site Housing.</w:t>
      </w:r>
      <w:r>
        <w:rPr>
          <w:rFonts w:ascii="Times New Roman" w:hAnsi="Times New Roman" w:cs="Times New Roman"/>
          <w:sz w:val="24"/>
          <w:szCs w:val="24"/>
        </w:rPr>
        <w:t xml:space="preserve"> </w:t>
      </w:r>
      <w:r w:rsidRPr="0087399A">
        <w:rPr>
          <w:rFonts w:ascii="Times New Roman" w:hAnsi="Times New Roman" w:cs="Times New Roman"/>
          <w:sz w:val="24"/>
          <w:szCs w:val="24"/>
        </w:rPr>
        <w:t xml:space="preserve">Off-site housing units may be proposed within the Town limits to satisfy the housing mitigation requirement for the development. Off-site housing units may include any combination of new dwelling units, new dwelling units created in existing structures, or </w:t>
      </w:r>
      <w:r>
        <w:rPr>
          <w:rFonts w:ascii="Times New Roman" w:hAnsi="Times New Roman" w:cs="Times New Roman"/>
          <w:sz w:val="24"/>
          <w:szCs w:val="24"/>
        </w:rPr>
        <w:t xml:space="preserve">acquisition and </w:t>
      </w:r>
      <w:r w:rsidRPr="0087399A">
        <w:rPr>
          <w:rFonts w:ascii="Times New Roman" w:hAnsi="Times New Roman" w:cs="Times New Roman"/>
          <w:sz w:val="24"/>
          <w:szCs w:val="24"/>
        </w:rPr>
        <w:t>conversion of existing market-rate to below market rate (BMR) units. The cost to the developer</w:t>
      </w:r>
      <w:r>
        <w:rPr>
          <w:rFonts w:ascii="Times New Roman" w:hAnsi="Times New Roman" w:cs="Times New Roman"/>
          <w:sz w:val="24"/>
          <w:szCs w:val="24"/>
        </w:rPr>
        <w:t xml:space="preserve"> of such off</w:t>
      </w:r>
      <w:r w:rsidRPr="0087399A">
        <w:rPr>
          <w:rFonts w:ascii="Times New Roman" w:hAnsi="Times New Roman" w:cs="Times New Roman"/>
          <w:sz w:val="24"/>
          <w:szCs w:val="24"/>
        </w:rPr>
        <w:t>-site unit(s)</w:t>
      </w:r>
      <w:r>
        <w:rPr>
          <w:rFonts w:ascii="Times New Roman" w:hAnsi="Times New Roman" w:cs="Times New Roman"/>
          <w:sz w:val="24"/>
          <w:szCs w:val="24"/>
        </w:rPr>
        <w:t>, including acquisition and rehabilitation,</w:t>
      </w:r>
      <w:r w:rsidRPr="0087399A">
        <w:rPr>
          <w:rFonts w:ascii="Times New Roman" w:hAnsi="Times New Roman" w:cs="Times New Roman"/>
          <w:sz w:val="24"/>
          <w:szCs w:val="24"/>
        </w:rPr>
        <w:t xml:space="preserve"> shall not be required to exceed the </w:t>
      </w:r>
      <w:r>
        <w:rPr>
          <w:rFonts w:ascii="Times New Roman" w:hAnsi="Times New Roman" w:cs="Times New Roman"/>
          <w:sz w:val="24"/>
          <w:szCs w:val="24"/>
        </w:rPr>
        <w:t>amount</w:t>
      </w:r>
      <w:r w:rsidRPr="0087399A">
        <w:rPr>
          <w:rFonts w:ascii="Times New Roman" w:hAnsi="Times New Roman" w:cs="Times New Roman"/>
          <w:sz w:val="24"/>
          <w:szCs w:val="24"/>
        </w:rPr>
        <w:t xml:space="preserve"> of the applicable housing fee pursuant to Section 17.</w:t>
      </w:r>
      <w:r w:rsidRPr="005B0B3E">
        <w:rPr>
          <w:rFonts w:ascii="Times New Roman" w:hAnsi="Times New Roman" w:cs="Times New Roman"/>
          <w:sz w:val="24"/>
          <w:szCs w:val="24"/>
        </w:rPr>
        <w:t>136.040</w:t>
      </w:r>
      <w:r>
        <w:rPr>
          <w:rFonts w:ascii="Times New Roman" w:hAnsi="Times New Roman" w:cs="Times New Roman"/>
          <w:sz w:val="24"/>
          <w:szCs w:val="24"/>
        </w:rPr>
        <w:t>, and calculated as outlined in Subsection 17.136.060.B.6, below</w:t>
      </w:r>
      <w:r w:rsidRPr="005B0B3E">
        <w:rPr>
          <w:rFonts w:ascii="Times New Roman" w:hAnsi="Times New Roman" w:cs="Times New Roman"/>
          <w:sz w:val="24"/>
          <w:szCs w:val="24"/>
        </w:rPr>
        <w:t>.</w:t>
      </w:r>
      <w:r w:rsidRPr="0087399A">
        <w:rPr>
          <w:rFonts w:ascii="Times New Roman" w:hAnsi="Times New Roman" w:cs="Times New Roman"/>
          <w:sz w:val="24"/>
          <w:szCs w:val="24"/>
        </w:rPr>
        <w:t xml:space="preserve"> </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19"/>
        </w:numPr>
        <w:spacing w:after="0" w:line="240" w:lineRule="auto"/>
        <w:jc w:val="both"/>
        <w:rPr>
          <w:rFonts w:ascii="Times New Roman" w:hAnsi="Times New Roman" w:cs="Times New Roman"/>
          <w:sz w:val="24"/>
          <w:szCs w:val="24"/>
        </w:rPr>
      </w:pPr>
      <w:r w:rsidRPr="0087399A">
        <w:rPr>
          <w:rFonts w:ascii="Times New Roman" w:hAnsi="Times New Roman" w:cs="Times New Roman"/>
          <w:b/>
          <w:sz w:val="24"/>
          <w:szCs w:val="24"/>
        </w:rPr>
        <w:t>Off-Site Unit Requirements.</w:t>
      </w:r>
      <w:r w:rsidRPr="0087399A">
        <w:rPr>
          <w:rFonts w:ascii="Times New Roman" w:hAnsi="Times New Roman" w:cs="Times New Roman"/>
          <w:sz w:val="24"/>
          <w:szCs w:val="24"/>
        </w:rPr>
        <w:t xml:space="preserve"> The </w:t>
      </w:r>
      <w:r>
        <w:rPr>
          <w:rFonts w:ascii="Times New Roman" w:hAnsi="Times New Roman" w:cs="Times New Roman"/>
          <w:sz w:val="24"/>
          <w:szCs w:val="24"/>
        </w:rPr>
        <w:t>off</w:t>
      </w:r>
      <w:r w:rsidRPr="0087399A">
        <w:rPr>
          <w:rFonts w:ascii="Times New Roman" w:hAnsi="Times New Roman" w:cs="Times New Roman"/>
          <w:sz w:val="24"/>
          <w:szCs w:val="24"/>
        </w:rPr>
        <w:t>-site unit(s) required to satisfy housing mitigation for a particular development shall comply with the following:</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C46358" w:rsidRDefault="00CD73A6" w:rsidP="00CD73A6">
      <w:pPr>
        <w:pStyle w:val="ListParagraph"/>
        <w:numPr>
          <w:ilvl w:val="1"/>
          <w:numId w:val="19"/>
        </w:numPr>
        <w:spacing w:after="0" w:line="240" w:lineRule="auto"/>
        <w:jc w:val="both"/>
        <w:rPr>
          <w:rFonts w:ascii="Times New Roman" w:hAnsi="Times New Roman" w:cs="Times New Roman"/>
          <w:sz w:val="24"/>
          <w:szCs w:val="24"/>
        </w:rPr>
      </w:pPr>
      <w:r w:rsidRPr="00C46358">
        <w:rPr>
          <w:rFonts w:ascii="Times New Roman" w:hAnsi="Times New Roman" w:cs="Times New Roman"/>
          <w:sz w:val="24"/>
          <w:szCs w:val="24"/>
        </w:rPr>
        <w:t>Units that are currently serving as long-term (i.e., non- transient) rental units, may only serve to satisfy housing mitigation requirements if all applicable relocation law provisions are adhered to.</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9"/>
        </w:numPr>
        <w:spacing w:after="0" w:line="240" w:lineRule="auto"/>
        <w:jc w:val="both"/>
        <w:rPr>
          <w:rFonts w:ascii="Times New Roman" w:hAnsi="Times New Roman" w:cs="Times New Roman"/>
          <w:sz w:val="24"/>
          <w:szCs w:val="24"/>
        </w:rPr>
      </w:pPr>
      <w:r w:rsidRPr="00A12697">
        <w:rPr>
          <w:rFonts w:ascii="Times New Roman" w:hAnsi="Times New Roman" w:cs="Times New Roman"/>
          <w:sz w:val="24"/>
          <w:szCs w:val="24"/>
        </w:rPr>
        <w:t>The affordability level</w:t>
      </w:r>
      <w:r>
        <w:rPr>
          <w:rFonts w:ascii="Times New Roman" w:hAnsi="Times New Roman" w:cs="Times New Roman"/>
          <w:sz w:val="24"/>
          <w:szCs w:val="24"/>
        </w:rPr>
        <w:t>(s)</w:t>
      </w:r>
      <w:r w:rsidRPr="00A12697">
        <w:rPr>
          <w:rFonts w:ascii="Times New Roman" w:hAnsi="Times New Roman" w:cs="Times New Roman"/>
          <w:sz w:val="24"/>
          <w:szCs w:val="24"/>
        </w:rPr>
        <w:t xml:space="preserve"> of the unit(s) (stated as a proportion of Area Median Income (AMI)) shall </w:t>
      </w:r>
      <w:r>
        <w:rPr>
          <w:rFonts w:ascii="Times New Roman" w:hAnsi="Times New Roman" w:cs="Times New Roman"/>
          <w:sz w:val="24"/>
          <w:szCs w:val="24"/>
        </w:rPr>
        <w:t>comply with those</w:t>
      </w:r>
      <w:r w:rsidRPr="00A12697">
        <w:rPr>
          <w:rFonts w:ascii="Times New Roman" w:hAnsi="Times New Roman" w:cs="Times New Roman"/>
          <w:sz w:val="24"/>
          <w:szCs w:val="24"/>
        </w:rPr>
        <w:t xml:space="preserve"> established by Council resolution, which shall be periodically reviewed and updated. </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9"/>
        </w:numPr>
        <w:spacing w:after="0" w:line="240" w:lineRule="auto"/>
        <w:jc w:val="both"/>
        <w:rPr>
          <w:rFonts w:ascii="Times New Roman" w:hAnsi="Times New Roman" w:cs="Times New Roman"/>
          <w:sz w:val="24"/>
          <w:szCs w:val="24"/>
        </w:rPr>
      </w:pPr>
      <w:r w:rsidRPr="0087399A">
        <w:rPr>
          <w:rFonts w:ascii="Times New Roman" w:hAnsi="Times New Roman" w:cs="Times New Roman"/>
          <w:sz w:val="24"/>
          <w:szCs w:val="24"/>
        </w:rPr>
        <w:t>The proposed off-site units shall meet or exceed the livability and design standards described in Section 17.136.</w:t>
      </w:r>
      <w:r w:rsidRPr="005B0B3E">
        <w:rPr>
          <w:rFonts w:ascii="Times New Roman" w:hAnsi="Times New Roman" w:cs="Times New Roman"/>
          <w:sz w:val="24"/>
          <w:szCs w:val="24"/>
        </w:rPr>
        <w:t>120</w:t>
      </w:r>
      <w:r>
        <w:rPr>
          <w:rFonts w:ascii="Times New Roman" w:hAnsi="Times New Roman" w:cs="Times New Roman"/>
          <w:sz w:val="24"/>
          <w:szCs w:val="24"/>
        </w:rPr>
        <w:t xml:space="preserve"> to the extent feasible,</w:t>
      </w:r>
      <w:r w:rsidRPr="0087399A">
        <w:rPr>
          <w:rFonts w:ascii="Times New Roman" w:hAnsi="Times New Roman" w:cs="Times New Roman"/>
          <w:sz w:val="24"/>
          <w:szCs w:val="24"/>
        </w:rPr>
        <w:t xml:space="preserve"> unless a waiver or modification to those standards has been approved by the Town.</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9"/>
        </w:numPr>
        <w:spacing w:after="0" w:line="240" w:lineRule="auto"/>
        <w:jc w:val="both"/>
        <w:rPr>
          <w:rFonts w:ascii="Times New Roman" w:hAnsi="Times New Roman" w:cs="Times New Roman"/>
          <w:sz w:val="24"/>
          <w:szCs w:val="24"/>
        </w:rPr>
      </w:pPr>
      <w:r w:rsidRPr="00065C97">
        <w:rPr>
          <w:rFonts w:ascii="Times New Roman" w:hAnsi="Times New Roman" w:cs="Times New Roman"/>
          <w:sz w:val="24"/>
          <w:szCs w:val="24"/>
        </w:rPr>
        <w:t xml:space="preserve">If the </w:t>
      </w:r>
      <w:r>
        <w:rPr>
          <w:rFonts w:ascii="Times New Roman" w:hAnsi="Times New Roman" w:cs="Times New Roman"/>
          <w:sz w:val="24"/>
          <w:szCs w:val="24"/>
        </w:rPr>
        <w:t>total cost to the developer</w:t>
      </w:r>
      <w:r w:rsidRPr="00065C97">
        <w:rPr>
          <w:rFonts w:ascii="Times New Roman" w:hAnsi="Times New Roman" w:cs="Times New Roman"/>
          <w:sz w:val="24"/>
          <w:szCs w:val="24"/>
        </w:rPr>
        <w:t xml:space="preserve"> </w:t>
      </w:r>
      <w:r>
        <w:rPr>
          <w:rFonts w:ascii="Times New Roman" w:hAnsi="Times New Roman" w:cs="Times New Roman"/>
          <w:sz w:val="24"/>
          <w:szCs w:val="24"/>
        </w:rPr>
        <w:t xml:space="preserve">to mitigate off-site would </w:t>
      </w:r>
      <w:r w:rsidRPr="00065C97">
        <w:rPr>
          <w:rFonts w:ascii="Times New Roman" w:hAnsi="Times New Roman" w:cs="Times New Roman"/>
          <w:sz w:val="24"/>
          <w:szCs w:val="24"/>
        </w:rPr>
        <w:t xml:space="preserve">result in a fraction of a dwelling unit, </w:t>
      </w:r>
      <w:r>
        <w:rPr>
          <w:rFonts w:ascii="Times New Roman" w:hAnsi="Times New Roman" w:cs="Times New Roman"/>
          <w:sz w:val="24"/>
          <w:szCs w:val="24"/>
        </w:rPr>
        <w:t>the</w:t>
      </w:r>
      <w:r w:rsidRPr="00065C97">
        <w:rPr>
          <w:rFonts w:ascii="Times New Roman" w:hAnsi="Times New Roman" w:cs="Times New Roman"/>
          <w:sz w:val="24"/>
          <w:szCs w:val="24"/>
        </w:rPr>
        <w:t xml:space="preserve"> proportionate share of the housing fee described in Section</w:t>
      </w:r>
      <w:r>
        <w:rPr>
          <w:rFonts w:ascii="Times New Roman" w:hAnsi="Times New Roman" w:cs="Times New Roman"/>
          <w:sz w:val="24"/>
          <w:szCs w:val="24"/>
        </w:rPr>
        <w:t xml:space="preserve"> </w:t>
      </w:r>
      <w:r w:rsidRPr="00065C97">
        <w:rPr>
          <w:rFonts w:ascii="Times New Roman" w:hAnsi="Times New Roman" w:cs="Times New Roman"/>
          <w:sz w:val="24"/>
          <w:szCs w:val="24"/>
        </w:rPr>
        <w:t>17.136</w:t>
      </w:r>
      <w:r w:rsidRPr="005B0B3E">
        <w:rPr>
          <w:rFonts w:ascii="Times New Roman" w:hAnsi="Times New Roman" w:cs="Times New Roman"/>
          <w:sz w:val="24"/>
          <w:szCs w:val="24"/>
        </w:rPr>
        <w:t>.040 shall</w:t>
      </w:r>
      <w:r>
        <w:rPr>
          <w:rFonts w:ascii="Times New Roman" w:hAnsi="Times New Roman" w:cs="Times New Roman"/>
          <w:sz w:val="24"/>
          <w:szCs w:val="24"/>
        </w:rPr>
        <w:t xml:space="preserve"> be paid for the fra</w:t>
      </w:r>
      <w:r w:rsidRPr="00065C97">
        <w:rPr>
          <w:rFonts w:ascii="Times New Roman" w:hAnsi="Times New Roman" w:cs="Times New Roman"/>
          <w:sz w:val="24"/>
          <w:szCs w:val="24"/>
        </w:rPr>
        <w:t>ction.</w:t>
      </w:r>
    </w:p>
    <w:p w:rsidR="00CD73A6" w:rsidRPr="0087399A"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w:t>
      </w:r>
      <w:r w:rsidRPr="00A12697">
        <w:rPr>
          <w:rFonts w:ascii="Times New Roman" w:hAnsi="Times New Roman" w:cs="Times New Roman"/>
          <w:sz w:val="24"/>
          <w:szCs w:val="24"/>
        </w:rPr>
        <w:t xml:space="preserve"> </w:t>
      </w:r>
      <w:r>
        <w:rPr>
          <w:rFonts w:ascii="Times New Roman" w:hAnsi="Times New Roman" w:cs="Times New Roman"/>
          <w:sz w:val="24"/>
          <w:szCs w:val="24"/>
        </w:rPr>
        <w:t xml:space="preserve">total </w:t>
      </w:r>
      <w:r w:rsidRPr="00A12697">
        <w:rPr>
          <w:rFonts w:ascii="Times New Roman" w:hAnsi="Times New Roman" w:cs="Times New Roman"/>
          <w:sz w:val="24"/>
          <w:szCs w:val="24"/>
        </w:rPr>
        <w:t xml:space="preserve">cost to the developer </w:t>
      </w:r>
      <w:r>
        <w:rPr>
          <w:rFonts w:ascii="Times New Roman" w:hAnsi="Times New Roman" w:cs="Times New Roman"/>
          <w:sz w:val="24"/>
          <w:szCs w:val="24"/>
        </w:rPr>
        <w:t>to mitigate off-site</w:t>
      </w:r>
      <w:r w:rsidRPr="00A12697">
        <w:rPr>
          <w:rFonts w:ascii="Times New Roman" w:hAnsi="Times New Roman" w:cs="Times New Roman"/>
          <w:sz w:val="24"/>
          <w:szCs w:val="24"/>
        </w:rPr>
        <w:t xml:space="preserve"> exceed</w:t>
      </w:r>
      <w:r>
        <w:rPr>
          <w:rFonts w:ascii="Times New Roman" w:hAnsi="Times New Roman" w:cs="Times New Roman"/>
          <w:sz w:val="24"/>
          <w:szCs w:val="24"/>
        </w:rPr>
        <w:t>s</w:t>
      </w:r>
      <w:r w:rsidRPr="00A12697">
        <w:rPr>
          <w:rFonts w:ascii="Times New Roman" w:hAnsi="Times New Roman" w:cs="Times New Roman"/>
          <w:sz w:val="24"/>
          <w:szCs w:val="24"/>
        </w:rPr>
        <w:t xml:space="preserve"> the </w:t>
      </w:r>
      <w:r>
        <w:rPr>
          <w:rFonts w:ascii="Times New Roman" w:hAnsi="Times New Roman" w:cs="Times New Roman"/>
          <w:sz w:val="24"/>
          <w:szCs w:val="24"/>
        </w:rPr>
        <w:t xml:space="preserve">amount </w:t>
      </w:r>
      <w:r w:rsidRPr="00A12697">
        <w:rPr>
          <w:rFonts w:ascii="Times New Roman" w:hAnsi="Times New Roman" w:cs="Times New Roman"/>
          <w:sz w:val="24"/>
          <w:szCs w:val="24"/>
        </w:rPr>
        <w:t xml:space="preserve">of the applicable housing fee pursuant to Section </w:t>
      </w:r>
      <w:r w:rsidRPr="005B0B3E">
        <w:rPr>
          <w:rFonts w:ascii="Times New Roman" w:hAnsi="Times New Roman" w:cs="Times New Roman"/>
          <w:sz w:val="24"/>
          <w:szCs w:val="24"/>
        </w:rPr>
        <w:t>17.136.040</w:t>
      </w:r>
      <w:r>
        <w:rPr>
          <w:rFonts w:ascii="Times New Roman" w:hAnsi="Times New Roman" w:cs="Times New Roman"/>
          <w:sz w:val="24"/>
          <w:szCs w:val="24"/>
        </w:rPr>
        <w:t xml:space="preserve">, the developer shall be assigned housing mitigation credit for the additional cost consistent with Section 17.136.030.B. and according to the following: </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B336EF" w:rsidRDefault="00CD73A6" w:rsidP="00CD73A6">
      <w:pPr>
        <w:pStyle w:val="ListParagraph"/>
        <w:spacing w:after="120" w:line="240" w:lineRule="auto"/>
        <w:ind w:left="1800"/>
        <w:contextualSpacing w:val="0"/>
        <w:jc w:val="both"/>
        <w:rPr>
          <w:rFonts w:ascii="Times New Roman" w:hAnsi="Times New Roman" w:cs="Times New Roman"/>
          <w:i/>
          <w:sz w:val="24"/>
          <w:szCs w:val="24"/>
          <w:u w:val="single"/>
        </w:rPr>
      </w:pPr>
      <w:r w:rsidRPr="00B336EF">
        <w:rPr>
          <w:rFonts w:ascii="Times New Roman" w:hAnsi="Times New Roman" w:cs="Times New Roman"/>
          <w:i/>
          <w:sz w:val="24"/>
          <w:szCs w:val="24"/>
          <w:u w:val="single"/>
        </w:rPr>
        <w:t>Construction of New Off-Site Units</w:t>
      </w:r>
    </w:p>
    <w:p w:rsidR="00CD73A6" w:rsidRDefault="00CD73A6" w:rsidP="00CD73A6">
      <w:pPr>
        <w:pStyle w:val="ListParagraph"/>
        <w:spacing w:after="0" w:line="240" w:lineRule="auto"/>
        <w:ind w:left="1980"/>
        <w:jc w:val="both"/>
        <w:rPr>
          <w:rFonts w:ascii="Times New Roman" w:hAnsi="Times New Roman" w:cs="Times New Roman"/>
          <w:i/>
          <w:sz w:val="24"/>
          <w:szCs w:val="24"/>
        </w:rPr>
      </w:pPr>
      <w:r>
        <w:rPr>
          <w:rFonts w:ascii="Times New Roman" w:hAnsi="Times New Roman" w:cs="Times New Roman"/>
          <w:i/>
          <w:sz w:val="24"/>
          <w:szCs w:val="24"/>
        </w:rPr>
        <w:t>Total cost to developer (for-sale unit) = Total cost of construction of off-site unit(s) less unit(s) sales price(s) at target AMI level(s).</w:t>
      </w:r>
    </w:p>
    <w:p w:rsidR="00CD73A6" w:rsidRDefault="00CD73A6" w:rsidP="00CD73A6">
      <w:pPr>
        <w:pStyle w:val="ListParagraph"/>
        <w:spacing w:after="0" w:line="240" w:lineRule="auto"/>
        <w:ind w:left="1980"/>
        <w:jc w:val="both"/>
        <w:rPr>
          <w:rFonts w:ascii="Times New Roman" w:hAnsi="Times New Roman" w:cs="Times New Roman"/>
          <w:i/>
          <w:sz w:val="24"/>
          <w:szCs w:val="24"/>
        </w:rPr>
      </w:pPr>
    </w:p>
    <w:p w:rsidR="00CD73A6" w:rsidRDefault="00CD73A6" w:rsidP="00CD73A6">
      <w:pPr>
        <w:pStyle w:val="ListParagraph"/>
        <w:spacing w:after="0" w:line="240" w:lineRule="auto"/>
        <w:ind w:left="1980"/>
        <w:jc w:val="both"/>
        <w:rPr>
          <w:rFonts w:ascii="Times New Roman" w:hAnsi="Times New Roman" w:cs="Times New Roman"/>
          <w:i/>
          <w:sz w:val="24"/>
          <w:szCs w:val="24"/>
        </w:rPr>
      </w:pPr>
      <w:r>
        <w:rPr>
          <w:rFonts w:ascii="Times New Roman" w:hAnsi="Times New Roman" w:cs="Times New Roman"/>
          <w:i/>
          <w:sz w:val="24"/>
          <w:szCs w:val="24"/>
        </w:rPr>
        <w:t>Total cost to developer (rental unit) = Total cost of construction</w:t>
      </w:r>
      <w:r w:rsidRPr="00DB4AC4">
        <w:rPr>
          <w:rFonts w:ascii="Times New Roman" w:hAnsi="Times New Roman" w:cs="Times New Roman"/>
          <w:i/>
          <w:sz w:val="24"/>
          <w:szCs w:val="24"/>
        </w:rPr>
        <w:t xml:space="preserve"> </w:t>
      </w:r>
      <w:r>
        <w:rPr>
          <w:rFonts w:ascii="Times New Roman" w:hAnsi="Times New Roman" w:cs="Times New Roman"/>
          <w:i/>
          <w:sz w:val="24"/>
          <w:szCs w:val="24"/>
        </w:rPr>
        <w:t>of off-site unit(s) less net present value(s) of rents at target AMI level(s) over 30 years based on a documented cap rate.</w:t>
      </w:r>
    </w:p>
    <w:p w:rsidR="00CD73A6" w:rsidRDefault="00CD73A6" w:rsidP="00CD73A6">
      <w:pPr>
        <w:pStyle w:val="ListParagraph"/>
        <w:spacing w:after="0" w:line="240" w:lineRule="auto"/>
        <w:ind w:left="1980"/>
        <w:jc w:val="both"/>
        <w:rPr>
          <w:rFonts w:ascii="Times New Roman" w:hAnsi="Times New Roman" w:cs="Times New Roman"/>
          <w:i/>
          <w:sz w:val="24"/>
          <w:szCs w:val="24"/>
        </w:rPr>
      </w:pPr>
    </w:p>
    <w:p w:rsidR="00CD73A6" w:rsidRDefault="00CD73A6" w:rsidP="00CD73A6">
      <w:pPr>
        <w:pStyle w:val="ListParagraph"/>
        <w:spacing w:after="0" w:line="240" w:lineRule="auto"/>
        <w:ind w:left="1980"/>
        <w:jc w:val="both"/>
        <w:rPr>
          <w:rFonts w:ascii="Times New Roman" w:hAnsi="Times New Roman" w:cs="Times New Roman"/>
          <w:sz w:val="24"/>
          <w:szCs w:val="24"/>
        </w:rPr>
      </w:pPr>
      <w:r>
        <w:rPr>
          <w:rFonts w:ascii="Times New Roman" w:hAnsi="Times New Roman" w:cs="Times New Roman"/>
          <w:i/>
          <w:sz w:val="24"/>
          <w:szCs w:val="24"/>
        </w:rPr>
        <w:t xml:space="preserve">Total cost of construction includes land </w:t>
      </w:r>
      <w:proofErr w:type="gramStart"/>
      <w:r>
        <w:rPr>
          <w:rFonts w:ascii="Times New Roman" w:hAnsi="Times New Roman" w:cs="Times New Roman"/>
          <w:i/>
          <w:sz w:val="24"/>
          <w:szCs w:val="24"/>
        </w:rPr>
        <w:t>cost,</w:t>
      </w:r>
      <w:proofErr w:type="gramEnd"/>
      <w:r>
        <w:rPr>
          <w:rFonts w:ascii="Times New Roman" w:hAnsi="Times New Roman" w:cs="Times New Roman"/>
          <w:i/>
          <w:sz w:val="24"/>
          <w:szCs w:val="24"/>
        </w:rPr>
        <w:t xml:space="preserve"> direct costs (e.g., labor and materials), indirect or “soft” costs (e.g., architecture, entitlement, marketing, etc.) specifically associated with the off-site mitigation unit(s).</w:t>
      </w:r>
    </w:p>
    <w:p w:rsidR="00CD73A6" w:rsidRDefault="00CD73A6" w:rsidP="00CD73A6">
      <w:pPr>
        <w:pStyle w:val="ListParagraph"/>
        <w:spacing w:after="0" w:line="240" w:lineRule="auto"/>
        <w:ind w:left="1980"/>
        <w:jc w:val="both"/>
        <w:rPr>
          <w:rFonts w:ascii="Times New Roman" w:hAnsi="Times New Roman" w:cs="Times New Roman"/>
          <w:i/>
          <w:sz w:val="24"/>
          <w:szCs w:val="24"/>
        </w:rPr>
      </w:pPr>
    </w:p>
    <w:p w:rsidR="00CD73A6" w:rsidRPr="00707020" w:rsidRDefault="00CD73A6" w:rsidP="00CD73A6">
      <w:pPr>
        <w:pStyle w:val="ListParagraph"/>
        <w:spacing w:after="0" w:line="240" w:lineRule="auto"/>
        <w:ind w:left="1980"/>
        <w:jc w:val="both"/>
        <w:rPr>
          <w:rFonts w:ascii="Times New Roman" w:hAnsi="Times New Roman" w:cs="Times New Roman"/>
          <w:i/>
          <w:sz w:val="24"/>
          <w:szCs w:val="24"/>
        </w:rPr>
      </w:pPr>
      <w:r>
        <w:rPr>
          <w:rFonts w:ascii="Times New Roman" w:hAnsi="Times New Roman" w:cs="Times New Roman"/>
          <w:sz w:val="24"/>
          <w:szCs w:val="24"/>
        </w:rPr>
        <w:t>The calculation of total cost shall include only those costs for meeting Workforce Housing Amenity and Design Standards. The developer shall provide a pro-forma document of those costs</w:t>
      </w:r>
    </w:p>
    <w:p w:rsidR="00CD73A6" w:rsidRDefault="00CD73A6" w:rsidP="00CD73A6">
      <w:pPr>
        <w:pStyle w:val="ListParagraph"/>
        <w:spacing w:after="0" w:line="240" w:lineRule="auto"/>
        <w:ind w:left="1800"/>
        <w:jc w:val="both"/>
        <w:rPr>
          <w:rFonts w:ascii="Times New Roman" w:hAnsi="Times New Roman" w:cs="Times New Roman"/>
          <w:i/>
          <w:sz w:val="24"/>
          <w:szCs w:val="24"/>
        </w:rPr>
      </w:pPr>
    </w:p>
    <w:p w:rsidR="00CD73A6" w:rsidRPr="00B336EF" w:rsidRDefault="00CD73A6" w:rsidP="00CD73A6">
      <w:pPr>
        <w:pStyle w:val="ListParagraph"/>
        <w:spacing w:after="120" w:line="240" w:lineRule="auto"/>
        <w:ind w:left="1800"/>
        <w:contextualSpacing w:val="0"/>
        <w:jc w:val="both"/>
        <w:rPr>
          <w:rFonts w:ascii="Times New Roman" w:hAnsi="Times New Roman" w:cs="Times New Roman"/>
          <w:i/>
          <w:sz w:val="24"/>
          <w:szCs w:val="24"/>
          <w:u w:val="single"/>
        </w:rPr>
      </w:pPr>
      <w:r w:rsidRPr="00B336EF">
        <w:rPr>
          <w:rFonts w:ascii="Times New Roman" w:hAnsi="Times New Roman" w:cs="Times New Roman"/>
          <w:i/>
          <w:sz w:val="24"/>
          <w:szCs w:val="24"/>
          <w:u w:val="single"/>
        </w:rPr>
        <w:t>Acquisition and Rehabilitation of Existing Off-Site Units</w:t>
      </w:r>
    </w:p>
    <w:p w:rsidR="00CD73A6" w:rsidRDefault="00CD73A6" w:rsidP="00CD73A6">
      <w:pPr>
        <w:pStyle w:val="ListParagraph"/>
        <w:tabs>
          <w:tab w:val="left" w:pos="1980"/>
        </w:tabs>
        <w:spacing w:after="0" w:line="240" w:lineRule="auto"/>
        <w:ind w:left="1980"/>
        <w:jc w:val="both"/>
        <w:rPr>
          <w:rFonts w:ascii="Times New Roman" w:hAnsi="Times New Roman" w:cs="Times New Roman"/>
          <w:i/>
          <w:sz w:val="24"/>
          <w:szCs w:val="24"/>
        </w:rPr>
      </w:pPr>
      <w:r>
        <w:rPr>
          <w:rFonts w:ascii="Times New Roman" w:hAnsi="Times New Roman" w:cs="Times New Roman"/>
          <w:i/>
          <w:sz w:val="24"/>
          <w:szCs w:val="24"/>
        </w:rPr>
        <w:t>Total cost to developer (existing for-sale unit) = Total cost of acquisition and rehabilitation of off-site unit(s) less unit(s) sales price(s) at target AMI level(s)</w:t>
      </w:r>
    </w:p>
    <w:p w:rsidR="00CD73A6" w:rsidRDefault="00CD73A6" w:rsidP="00CD73A6">
      <w:pPr>
        <w:pStyle w:val="ListParagraph"/>
        <w:tabs>
          <w:tab w:val="left" w:pos="1980"/>
        </w:tabs>
        <w:spacing w:after="0" w:line="240" w:lineRule="auto"/>
        <w:ind w:left="1980"/>
        <w:jc w:val="both"/>
        <w:rPr>
          <w:rFonts w:ascii="Times New Roman" w:hAnsi="Times New Roman" w:cs="Times New Roman"/>
          <w:i/>
          <w:sz w:val="24"/>
          <w:szCs w:val="24"/>
        </w:rPr>
      </w:pPr>
    </w:p>
    <w:p w:rsidR="00CD73A6" w:rsidRDefault="00CD73A6" w:rsidP="00CD73A6">
      <w:pPr>
        <w:pStyle w:val="ListParagraph"/>
        <w:tabs>
          <w:tab w:val="left" w:pos="1980"/>
        </w:tabs>
        <w:spacing w:after="0" w:line="240" w:lineRule="auto"/>
        <w:ind w:left="1980"/>
        <w:jc w:val="both"/>
        <w:rPr>
          <w:rFonts w:ascii="Times New Roman" w:hAnsi="Times New Roman" w:cs="Times New Roman"/>
          <w:i/>
          <w:sz w:val="24"/>
          <w:szCs w:val="24"/>
        </w:rPr>
      </w:pPr>
      <w:r>
        <w:rPr>
          <w:rFonts w:ascii="Times New Roman" w:hAnsi="Times New Roman" w:cs="Times New Roman"/>
          <w:i/>
          <w:sz w:val="24"/>
          <w:szCs w:val="24"/>
        </w:rPr>
        <w:t>Total cost to developer (existing rental unit) = Total cost of acquisition and rehabilitation of off-site unit(s) less rental unit(s) net present value(s) of rents at target AMI level(s) over 30 years based on a documented cap rate.</w:t>
      </w:r>
    </w:p>
    <w:p w:rsidR="00CD73A6" w:rsidRDefault="00CD73A6" w:rsidP="00CD73A6">
      <w:pPr>
        <w:pStyle w:val="ListParagraph"/>
        <w:tabs>
          <w:tab w:val="left" w:pos="1980"/>
        </w:tabs>
        <w:spacing w:after="0" w:line="240" w:lineRule="auto"/>
        <w:ind w:left="1980"/>
        <w:jc w:val="both"/>
        <w:rPr>
          <w:rFonts w:ascii="Times New Roman" w:hAnsi="Times New Roman" w:cs="Times New Roman"/>
          <w:i/>
          <w:sz w:val="24"/>
          <w:szCs w:val="24"/>
        </w:rPr>
      </w:pPr>
    </w:p>
    <w:p w:rsidR="00CD73A6" w:rsidRDefault="00CD73A6" w:rsidP="00CD73A6">
      <w:pPr>
        <w:pStyle w:val="ListParagraph"/>
        <w:tabs>
          <w:tab w:val="left" w:pos="1980"/>
        </w:tabs>
        <w:spacing w:after="0" w:line="240" w:lineRule="auto"/>
        <w:ind w:left="1980"/>
        <w:jc w:val="both"/>
        <w:rPr>
          <w:rFonts w:ascii="Times New Roman" w:hAnsi="Times New Roman" w:cs="Times New Roman"/>
          <w:i/>
          <w:sz w:val="24"/>
          <w:szCs w:val="24"/>
        </w:rPr>
      </w:pPr>
      <w:r>
        <w:rPr>
          <w:rFonts w:ascii="Times New Roman" w:hAnsi="Times New Roman" w:cs="Times New Roman"/>
          <w:i/>
          <w:sz w:val="24"/>
          <w:szCs w:val="24"/>
        </w:rPr>
        <w:t>Total cost of acquisition and rehabilitation includes purchase price, direct costs (e.g., labor and materials), indirect or “soft” costs (e.g., architecture, permits, marketing, etc.) specifically associated with the off-site mitigation unit(s).</w:t>
      </w:r>
    </w:p>
    <w:p w:rsidR="00CD73A6" w:rsidRPr="00707020" w:rsidRDefault="00CD73A6" w:rsidP="00CD73A6">
      <w:pPr>
        <w:pStyle w:val="ListParagraph"/>
        <w:spacing w:after="0" w:line="240" w:lineRule="auto"/>
        <w:ind w:left="1800"/>
        <w:jc w:val="both"/>
        <w:rPr>
          <w:rFonts w:ascii="Times New Roman" w:hAnsi="Times New Roman" w:cs="Times New Roman"/>
          <w:i/>
          <w:sz w:val="24"/>
          <w:szCs w:val="24"/>
        </w:rPr>
      </w:pPr>
    </w:p>
    <w:p w:rsidR="00CD73A6" w:rsidRDefault="00CD73A6" w:rsidP="00CD73A6">
      <w:pPr>
        <w:pStyle w:val="ListParagraph"/>
        <w:numPr>
          <w:ilvl w:val="1"/>
          <w:numId w:val="19"/>
        </w:numPr>
        <w:spacing w:after="0" w:line="240" w:lineRule="auto"/>
        <w:jc w:val="both"/>
        <w:rPr>
          <w:rFonts w:ascii="Times New Roman" w:hAnsi="Times New Roman" w:cs="Times New Roman"/>
          <w:sz w:val="24"/>
          <w:szCs w:val="24"/>
        </w:rPr>
      </w:pPr>
      <w:r w:rsidRPr="0087399A">
        <w:rPr>
          <w:rFonts w:ascii="Times New Roman" w:hAnsi="Times New Roman" w:cs="Times New Roman"/>
          <w:sz w:val="24"/>
          <w:szCs w:val="24"/>
        </w:rPr>
        <w:t xml:space="preserve">If the off-site housing units will not be constructed or otherwise secured concurrently with the market-rate units, the builder shall </w:t>
      </w:r>
      <w:r>
        <w:rPr>
          <w:rFonts w:ascii="Times New Roman" w:hAnsi="Times New Roman" w:cs="Times New Roman"/>
          <w:sz w:val="24"/>
          <w:szCs w:val="24"/>
        </w:rPr>
        <w:t>propose</w:t>
      </w:r>
      <w:r w:rsidRPr="0087399A">
        <w:rPr>
          <w:rFonts w:ascii="Times New Roman" w:hAnsi="Times New Roman" w:cs="Times New Roman"/>
          <w:sz w:val="24"/>
          <w:szCs w:val="24"/>
        </w:rPr>
        <w:t xml:space="preserve"> the security to be provided to the Town to ensure the timely construction or acquisition of said units, including evidence of ownership, control or other legally-binding commitment to required sites, and evidence that funding has been secured for the off-site units. Such security shall be provided prior to issuance of any certificates of occupancy for the market-rate units.</w:t>
      </w:r>
    </w:p>
    <w:p w:rsidR="00CD73A6" w:rsidRPr="00972DB8" w:rsidRDefault="00CD73A6" w:rsidP="00CD73A6">
      <w:pPr>
        <w:pStyle w:val="ListParagraph"/>
        <w:spacing w:after="0" w:line="240" w:lineRule="auto"/>
        <w:ind w:left="1440"/>
        <w:jc w:val="both"/>
        <w:rPr>
          <w:rFonts w:ascii="Times New Roman" w:hAnsi="Times New Roman" w:cs="Times New Roman"/>
          <w:sz w:val="24"/>
          <w:szCs w:val="24"/>
        </w:rPr>
      </w:pPr>
    </w:p>
    <w:p w:rsidR="00CD73A6" w:rsidRPr="0063458C" w:rsidRDefault="00CD73A6" w:rsidP="00CD73A6">
      <w:pPr>
        <w:pStyle w:val="ListParagraph"/>
        <w:numPr>
          <w:ilvl w:val="0"/>
          <w:numId w:val="19"/>
        </w:numPr>
        <w:spacing w:after="0" w:line="240" w:lineRule="auto"/>
        <w:jc w:val="both"/>
        <w:rPr>
          <w:rFonts w:ascii="Times New Roman" w:hAnsi="Times New Roman" w:cs="Times New Roman"/>
          <w:sz w:val="24"/>
          <w:szCs w:val="24"/>
        </w:rPr>
      </w:pPr>
      <w:r w:rsidRPr="0062199B">
        <w:rPr>
          <w:rFonts w:ascii="Times New Roman" w:hAnsi="Times New Roman" w:cs="Times New Roman"/>
          <w:b/>
          <w:sz w:val="24"/>
          <w:szCs w:val="24"/>
        </w:rPr>
        <w:t>Application Requirements</w:t>
      </w:r>
      <w:r>
        <w:rPr>
          <w:rFonts w:ascii="Times New Roman" w:hAnsi="Times New Roman" w:cs="Times New Roman"/>
          <w:sz w:val="24"/>
          <w:szCs w:val="24"/>
        </w:rPr>
        <w:t xml:space="preserve">. </w:t>
      </w:r>
      <w:r w:rsidRPr="0063458C">
        <w:rPr>
          <w:rFonts w:ascii="Times New Roman" w:hAnsi="Times New Roman" w:cs="Times New Roman"/>
          <w:sz w:val="24"/>
          <w:szCs w:val="24"/>
        </w:rPr>
        <w:t>If o</w:t>
      </w:r>
      <w:r>
        <w:rPr>
          <w:rFonts w:ascii="Times New Roman" w:hAnsi="Times New Roman" w:cs="Times New Roman"/>
          <w:sz w:val="24"/>
          <w:szCs w:val="24"/>
        </w:rPr>
        <w:t>ff</w:t>
      </w:r>
      <w:r w:rsidRPr="0063458C">
        <w:rPr>
          <w:rFonts w:ascii="Times New Roman" w:hAnsi="Times New Roman" w:cs="Times New Roman"/>
          <w:sz w:val="24"/>
          <w:szCs w:val="24"/>
        </w:rPr>
        <w:t>-site mitigation housing is proposed, the applicant shall provide the following information for Town review, prior to project approval:</w:t>
      </w:r>
    </w:p>
    <w:p w:rsidR="00CD73A6" w:rsidRPr="00972DB8"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1"/>
          <w:numId w:val="19"/>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Identification of the location</w:t>
      </w:r>
      <w:r>
        <w:rPr>
          <w:rFonts w:ascii="Times New Roman" w:hAnsi="Times New Roman" w:cs="Times New Roman"/>
          <w:sz w:val="24"/>
          <w:szCs w:val="24"/>
        </w:rPr>
        <w:t>(s)</w:t>
      </w:r>
      <w:r w:rsidRPr="00972DB8">
        <w:rPr>
          <w:rFonts w:ascii="Times New Roman" w:hAnsi="Times New Roman" w:cs="Times New Roman"/>
          <w:sz w:val="24"/>
          <w:szCs w:val="24"/>
        </w:rPr>
        <w:t xml:space="preserve"> of the </w:t>
      </w:r>
      <w:r>
        <w:rPr>
          <w:rFonts w:ascii="Times New Roman" w:hAnsi="Times New Roman" w:cs="Times New Roman"/>
          <w:sz w:val="24"/>
          <w:szCs w:val="24"/>
        </w:rPr>
        <w:t>mitigation</w:t>
      </w:r>
      <w:r w:rsidRPr="00972DB8">
        <w:rPr>
          <w:rFonts w:ascii="Times New Roman" w:hAnsi="Times New Roman" w:cs="Times New Roman"/>
          <w:sz w:val="24"/>
          <w:szCs w:val="24"/>
        </w:rPr>
        <w:t xml:space="preserve"> unit</w:t>
      </w:r>
      <w:r>
        <w:rPr>
          <w:rFonts w:ascii="Times New Roman" w:hAnsi="Times New Roman" w:cs="Times New Roman"/>
          <w:sz w:val="24"/>
          <w:szCs w:val="24"/>
        </w:rPr>
        <w:t>(</w:t>
      </w:r>
      <w:r w:rsidRPr="00972DB8">
        <w:rPr>
          <w:rFonts w:ascii="Times New Roman" w:hAnsi="Times New Roman" w:cs="Times New Roman"/>
          <w:sz w:val="24"/>
          <w:szCs w:val="24"/>
        </w:rPr>
        <w:t>s</w:t>
      </w:r>
      <w:r>
        <w:rPr>
          <w:rFonts w:ascii="Times New Roman" w:hAnsi="Times New Roman" w:cs="Times New Roman"/>
          <w:sz w:val="24"/>
          <w:szCs w:val="24"/>
        </w:rPr>
        <w:t>)</w:t>
      </w:r>
      <w:r w:rsidRPr="00972DB8">
        <w:rPr>
          <w:rFonts w:ascii="Times New Roman" w:hAnsi="Times New Roman" w:cs="Times New Roman"/>
          <w:sz w:val="24"/>
          <w:szCs w:val="24"/>
        </w:rPr>
        <w:t>.</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9"/>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A description and floor plan of the proposed unit</w:t>
      </w:r>
      <w:r>
        <w:rPr>
          <w:rFonts w:ascii="Times New Roman" w:hAnsi="Times New Roman" w:cs="Times New Roman"/>
          <w:sz w:val="24"/>
          <w:szCs w:val="24"/>
        </w:rPr>
        <w:t>(</w:t>
      </w:r>
      <w:r w:rsidRPr="00972DB8">
        <w:rPr>
          <w:rFonts w:ascii="Times New Roman" w:hAnsi="Times New Roman" w:cs="Times New Roman"/>
          <w:sz w:val="24"/>
          <w:szCs w:val="24"/>
        </w:rPr>
        <w:t>s</w:t>
      </w:r>
      <w:r>
        <w:rPr>
          <w:rFonts w:ascii="Times New Roman" w:hAnsi="Times New Roman" w:cs="Times New Roman"/>
          <w:sz w:val="24"/>
          <w:szCs w:val="24"/>
        </w:rPr>
        <w:t>)</w:t>
      </w:r>
      <w:r w:rsidRPr="00972DB8">
        <w:rPr>
          <w:rFonts w:ascii="Times New Roman" w:hAnsi="Times New Roman" w:cs="Times New Roman"/>
          <w:sz w:val="24"/>
          <w:szCs w:val="24"/>
        </w:rPr>
        <w:t xml:space="preserve"> including habitable square footage, number of bedrooms, living areas, a</w:t>
      </w:r>
      <w:r>
        <w:rPr>
          <w:rFonts w:ascii="Times New Roman" w:hAnsi="Times New Roman" w:cs="Times New Roman"/>
          <w:sz w:val="24"/>
          <w:szCs w:val="24"/>
        </w:rPr>
        <w:t xml:space="preserve">nd proposed resident amenities. </w:t>
      </w:r>
      <w:r w:rsidRPr="00972DB8">
        <w:rPr>
          <w:rFonts w:ascii="Times New Roman" w:hAnsi="Times New Roman" w:cs="Times New Roman"/>
          <w:sz w:val="24"/>
          <w:szCs w:val="24"/>
        </w:rPr>
        <w:t xml:space="preserve">Such </w:t>
      </w:r>
      <w:r w:rsidRPr="005B0B3E">
        <w:rPr>
          <w:rFonts w:ascii="Times New Roman" w:hAnsi="Times New Roman" w:cs="Times New Roman"/>
          <w:sz w:val="24"/>
          <w:szCs w:val="24"/>
        </w:rPr>
        <w:t>information shall be provided in sufficient detail so as to permit an evaluation of the units’ conformance with the livability and design criteria set forth in Section 17.136.120.</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9"/>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 xml:space="preserve">The proposed timeframe for development </w:t>
      </w:r>
      <w:r>
        <w:rPr>
          <w:rFonts w:ascii="Times New Roman" w:hAnsi="Times New Roman" w:cs="Times New Roman"/>
          <w:sz w:val="24"/>
          <w:szCs w:val="24"/>
        </w:rPr>
        <w:t xml:space="preserve">or acquisition and rehabilitation </w:t>
      </w:r>
      <w:r w:rsidRPr="00972DB8">
        <w:rPr>
          <w:rFonts w:ascii="Times New Roman" w:hAnsi="Times New Roman" w:cs="Times New Roman"/>
          <w:sz w:val="24"/>
          <w:szCs w:val="24"/>
        </w:rPr>
        <w:t xml:space="preserve">of the </w:t>
      </w:r>
      <w:r>
        <w:rPr>
          <w:rFonts w:ascii="Times New Roman" w:hAnsi="Times New Roman" w:cs="Times New Roman"/>
          <w:sz w:val="24"/>
          <w:szCs w:val="24"/>
        </w:rPr>
        <w:t xml:space="preserve">mitigation </w:t>
      </w:r>
      <w:r w:rsidRPr="00972DB8">
        <w:rPr>
          <w:rFonts w:ascii="Times New Roman" w:hAnsi="Times New Roman" w:cs="Times New Roman"/>
          <w:sz w:val="24"/>
          <w:szCs w:val="24"/>
        </w:rPr>
        <w:t>unit</w:t>
      </w:r>
      <w:r>
        <w:rPr>
          <w:rFonts w:ascii="Times New Roman" w:hAnsi="Times New Roman" w:cs="Times New Roman"/>
          <w:sz w:val="24"/>
          <w:szCs w:val="24"/>
        </w:rPr>
        <w:t>(</w:t>
      </w:r>
      <w:r w:rsidRPr="00972DB8">
        <w:rPr>
          <w:rFonts w:ascii="Times New Roman" w:hAnsi="Times New Roman" w:cs="Times New Roman"/>
          <w:sz w:val="24"/>
          <w:szCs w:val="24"/>
        </w:rPr>
        <w:t>s</w:t>
      </w:r>
      <w:r>
        <w:rPr>
          <w:rFonts w:ascii="Times New Roman" w:hAnsi="Times New Roman" w:cs="Times New Roman"/>
          <w:sz w:val="24"/>
          <w:szCs w:val="24"/>
        </w:rPr>
        <w:t>)</w:t>
      </w:r>
      <w:r w:rsidRPr="00972DB8">
        <w:rPr>
          <w:rFonts w:ascii="Times New Roman" w:hAnsi="Times New Roman" w:cs="Times New Roman"/>
          <w:sz w:val="24"/>
          <w:szCs w:val="24"/>
        </w:rPr>
        <w:t>.</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proposed sales price</w:t>
      </w:r>
      <w:r w:rsidRPr="00972DB8">
        <w:rPr>
          <w:rFonts w:ascii="Times New Roman" w:hAnsi="Times New Roman" w:cs="Times New Roman"/>
          <w:sz w:val="24"/>
          <w:szCs w:val="24"/>
        </w:rPr>
        <w:t xml:space="preserve"> or rental price </w:t>
      </w:r>
      <w:r>
        <w:rPr>
          <w:rFonts w:ascii="Times New Roman" w:hAnsi="Times New Roman" w:cs="Times New Roman"/>
          <w:sz w:val="24"/>
          <w:szCs w:val="24"/>
        </w:rPr>
        <w:t xml:space="preserve">(if applicable </w:t>
      </w:r>
      <w:r w:rsidRPr="00972DB8">
        <w:rPr>
          <w:rFonts w:ascii="Times New Roman" w:hAnsi="Times New Roman" w:cs="Times New Roman"/>
          <w:sz w:val="24"/>
          <w:szCs w:val="24"/>
        </w:rPr>
        <w:t>refer to Section 17.136.</w:t>
      </w:r>
      <w:r w:rsidRPr="005B0B3E">
        <w:rPr>
          <w:rFonts w:ascii="Times New Roman" w:hAnsi="Times New Roman" w:cs="Times New Roman"/>
          <w:sz w:val="24"/>
          <w:szCs w:val="24"/>
        </w:rPr>
        <w:t>090),</w:t>
      </w:r>
      <w:r w:rsidRPr="00972DB8">
        <w:rPr>
          <w:rFonts w:ascii="Times New Roman" w:hAnsi="Times New Roman" w:cs="Times New Roman"/>
          <w:sz w:val="24"/>
          <w:szCs w:val="24"/>
        </w:rPr>
        <w:t xml:space="preserve"> and calculation method or basis for establishing such price.</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972DB8" w:rsidRDefault="00CD73A6" w:rsidP="00CD73A6">
      <w:pPr>
        <w:pStyle w:val="ListParagraph"/>
        <w:numPr>
          <w:ilvl w:val="1"/>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Documentation demonstrating the cost to the developer of the provision of the off-site unit(s) through a standard pro forma statement.</w:t>
      </w:r>
    </w:p>
    <w:p w:rsidR="00CD73A6" w:rsidRPr="00972DB8"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19"/>
        </w:numPr>
        <w:spacing w:after="0" w:line="240" w:lineRule="auto"/>
        <w:jc w:val="both"/>
        <w:rPr>
          <w:rFonts w:ascii="Times New Roman" w:hAnsi="Times New Roman" w:cs="Times New Roman"/>
          <w:sz w:val="24"/>
          <w:szCs w:val="24"/>
        </w:rPr>
      </w:pPr>
      <w:r w:rsidRPr="00183525">
        <w:rPr>
          <w:rFonts w:ascii="Times New Roman" w:hAnsi="Times New Roman" w:cs="Times New Roman"/>
          <w:b/>
          <w:sz w:val="24"/>
          <w:szCs w:val="24"/>
        </w:rPr>
        <w:t>Deed Restricting Existing Market-Rate Ownership Unit(s) within the Town.</w:t>
      </w:r>
      <w:r w:rsidRPr="00183525">
        <w:rPr>
          <w:rFonts w:ascii="Times New Roman" w:hAnsi="Times New Roman" w:cs="Times New Roman"/>
          <w:sz w:val="24"/>
          <w:szCs w:val="24"/>
        </w:rPr>
        <w:t xml:space="preserve">  As a condition of project approval</w:t>
      </w:r>
      <w:r>
        <w:rPr>
          <w:rFonts w:ascii="Times New Roman" w:hAnsi="Times New Roman" w:cs="Times New Roman"/>
          <w:sz w:val="24"/>
          <w:szCs w:val="24"/>
        </w:rPr>
        <w:t>,</w:t>
      </w:r>
      <w:r w:rsidRPr="00183525">
        <w:rPr>
          <w:rFonts w:ascii="Times New Roman" w:hAnsi="Times New Roman" w:cs="Times New Roman"/>
          <w:sz w:val="24"/>
          <w:szCs w:val="24"/>
        </w:rPr>
        <w:t xml:space="preserve"> when the deed restriction of existing market</w:t>
      </w:r>
      <w:r>
        <w:rPr>
          <w:rFonts w:ascii="Times New Roman" w:hAnsi="Times New Roman" w:cs="Times New Roman"/>
          <w:sz w:val="24"/>
          <w:szCs w:val="24"/>
        </w:rPr>
        <w:t>-</w:t>
      </w:r>
      <w:r w:rsidRPr="00183525">
        <w:rPr>
          <w:rFonts w:ascii="Times New Roman" w:hAnsi="Times New Roman" w:cs="Times New Roman"/>
          <w:sz w:val="24"/>
          <w:szCs w:val="24"/>
        </w:rPr>
        <w:t xml:space="preserve">rate unit(s) is proposed, the </w:t>
      </w:r>
      <w:r>
        <w:rPr>
          <w:rFonts w:ascii="Times New Roman" w:hAnsi="Times New Roman" w:cs="Times New Roman"/>
          <w:sz w:val="24"/>
          <w:szCs w:val="24"/>
        </w:rPr>
        <w:t>applicant</w:t>
      </w:r>
      <w:r w:rsidRPr="00183525">
        <w:rPr>
          <w:rFonts w:ascii="Times New Roman" w:hAnsi="Times New Roman" w:cs="Times New Roman"/>
          <w:sz w:val="24"/>
          <w:szCs w:val="24"/>
        </w:rPr>
        <w:t xml:space="preserve"> must describe the specific unit(s) to be deed restricted. Applicants must demonstrate: </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1"/>
          <w:numId w:val="19"/>
        </w:numPr>
        <w:spacing w:after="0" w:line="240" w:lineRule="auto"/>
        <w:jc w:val="both"/>
        <w:rPr>
          <w:rFonts w:ascii="Times New Roman" w:hAnsi="Times New Roman" w:cs="Times New Roman"/>
          <w:sz w:val="24"/>
          <w:szCs w:val="24"/>
        </w:rPr>
      </w:pPr>
      <w:r w:rsidRPr="00183525">
        <w:rPr>
          <w:rFonts w:ascii="Times New Roman" w:hAnsi="Times New Roman" w:cs="Times New Roman"/>
          <w:sz w:val="24"/>
          <w:szCs w:val="24"/>
        </w:rPr>
        <w:t>The long term affordability of the proposed unit(s) is adequately protected, considering issues including but not limited to long term maintenance and homeowner’s assessments.</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9"/>
        </w:numPr>
        <w:spacing w:after="0" w:line="240" w:lineRule="auto"/>
        <w:jc w:val="both"/>
        <w:rPr>
          <w:rFonts w:ascii="Times New Roman" w:hAnsi="Times New Roman" w:cs="Times New Roman"/>
          <w:sz w:val="24"/>
          <w:szCs w:val="24"/>
        </w:rPr>
      </w:pPr>
      <w:r w:rsidRPr="00183525">
        <w:rPr>
          <w:rFonts w:ascii="Times New Roman" w:hAnsi="Times New Roman" w:cs="Times New Roman"/>
          <w:sz w:val="24"/>
          <w:szCs w:val="24"/>
        </w:rPr>
        <w:t>The targeted income level(s) of the deed restricted units.</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19"/>
        </w:numPr>
        <w:spacing w:after="0" w:line="240" w:lineRule="auto"/>
        <w:jc w:val="both"/>
        <w:rPr>
          <w:rFonts w:ascii="Times New Roman" w:hAnsi="Times New Roman" w:cs="Times New Roman"/>
          <w:sz w:val="24"/>
          <w:szCs w:val="24"/>
        </w:rPr>
      </w:pPr>
      <w:r w:rsidRPr="00183525">
        <w:rPr>
          <w:rFonts w:ascii="Times New Roman" w:hAnsi="Times New Roman" w:cs="Times New Roman"/>
          <w:sz w:val="24"/>
          <w:szCs w:val="24"/>
        </w:rPr>
        <w:t xml:space="preserve">If under the jurisdiction of a homeowner’s association, that the project’s governing documents, if any, do not prohibit the deed restrictions. </w:t>
      </w:r>
    </w:p>
    <w:p w:rsidR="00CD73A6" w:rsidRDefault="00CD73A6" w:rsidP="00CD73A6">
      <w:pPr>
        <w:pStyle w:val="ListParagraph"/>
        <w:spacing w:after="0" w:line="240" w:lineRule="auto"/>
        <w:ind w:left="1440"/>
        <w:jc w:val="both"/>
        <w:rPr>
          <w:rFonts w:ascii="Times New Roman" w:hAnsi="Times New Roman" w:cs="Times New Roman"/>
          <w:sz w:val="24"/>
          <w:szCs w:val="24"/>
        </w:rPr>
      </w:pPr>
      <w:r w:rsidRPr="00183525">
        <w:rPr>
          <w:rFonts w:ascii="Times New Roman" w:hAnsi="Times New Roman" w:cs="Times New Roman"/>
          <w:sz w:val="24"/>
          <w:szCs w:val="24"/>
        </w:rPr>
        <w:t xml:space="preserve"> </w:t>
      </w:r>
    </w:p>
    <w:p w:rsidR="00CD73A6" w:rsidRDefault="00CD73A6" w:rsidP="00CD73A6">
      <w:pPr>
        <w:pStyle w:val="ListParagraph"/>
        <w:numPr>
          <w:ilvl w:val="1"/>
          <w:numId w:val="19"/>
        </w:numPr>
        <w:spacing w:after="0" w:line="240" w:lineRule="auto"/>
        <w:jc w:val="both"/>
        <w:rPr>
          <w:rFonts w:ascii="Times New Roman" w:hAnsi="Times New Roman" w:cs="Times New Roman"/>
          <w:sz w:val="24"/>
          <w:szCs w:val="24"/>
        </w:rPr>
      </w:pPr>
      <w:r w:rsidRPr="00183525">
        <w:rPr>
          <w:rFonts w:ascii="Times New Roman" w:hAnsi="Times New Roman" w:cs="Times New Roman"/>
          <w:sz w:val="24"/>
          <w:szCs w:val="24"/>
        </w:rPr>
        <w:t>Provisions to ensure that any unit(s) so restricted meets long term standards for maintenance and affordability.</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4F77C4" w:rsidRDefault="00CD73A6" w:rsidP="00CD73A6">
      <w:pPr>
        <w:ind w:left="720"/>
        <w:rPr>
          <w:szCs w:val="24"/>
        </w:rPr>
      </w:pPr>
      <w:r w:rsidRPr="004F77C4">
        <w:rPr>
          <w:szCs w:val="24"/>
        </w:rPr>
        <w:t>The Town may request additional information about the proposed unit(s) as reasonable to make such a determination.</w:t>
      </w:r>
    </w:p>
    <w:p w:rsidR="00CD73A6" w:rsidRPr="0049480E" w:rsidRDefault="00CD73A6" w:rsidP="00CD73A6">
      <w:pPr>
        <w:rPr>
          <w:szCs w:val="24"/>
        </w:rPr>
      </w:pPr>
    </w:p>
    <w:p w:rsidR="00CD73A6" w:rsidRDefault="00CD73A6" w:rsidP="00CD73A6">
      <w:pPr>
        <w:rPr>
          <w:b/>
          <w:szCs w:val="24"/>
        </w:rPr>
      </w:pPr>
      <w:r>
        <w:rPr>
          <w:b/>
          <w:szCs w:val="24"/>
        </w:rPr>
        <w:t>17.136.07</w:t>
      </w:r>
      <w:r w:rsidRPr="00DE5F83">
        <w:rPr>
          <w:b/>
          <w:szCs w:val="24"/>
        </w:rPr>
        <w:t xml:space="preserve">0 – </w:t>
      </w:r>
      <w:r w:rsidRPr="0087399A">
        <w:rPr>
          <w:b/>
          <w:szCs w:val="24"/>
        </w:rPr>
        <w:t>Conveyance of Land</w:t>
      </w:r>
    </w:p>
    <w:p w:rsidR="00CD73A6" w:rsidRDefault="00CD73A6" w:rsidP="00CD73A6">
      <w:pPr>
        <w:rPr>
          <w:szCs w:val="24"/>
        </w:rPr>
      </w:pPr>
    </w:p>
    <w:p w:rsidR="00CD73A6" w:rsidRDefault="00CD73A6" w:rsidP="00CD73A6">
      <w:pPr>
        <w:pStyle w:val="ListParagraph"/>
        <w:numPr>
          <w:ilvl w:val="0"/>
          <w:numId w:val="20"/>
        </w:numPr>
        <w:spacing w:after="0" w:line="240" w:lineRule="auto"/>
        <w:jc w:val="both"/>
        <w:rPr>
          <w:rFonts w:ascii="Times New Roman" w:hAnsi="Times New Roman" w:cs="Times New Roman"/>
          <w:sz w:val="24"/>
          <w:szCs w:val="24"/>
        </w:rPr>
      </w:pPr>
      <w:r w:rsidRPr="004F77C4">
        <w:rPr>
          <w:rFonts w:ascii="Times New Roman" w:hAnsi="Times New Roman" w:cs="Times New Roman"/>
          <w:b/>
          <w:sz w:val="24"/>
          <w:szCs w:val="24"/>
        </w:rPr>
        <w:t>Criteria for Conveyance of Land.</w:t>
      </w:r>
      <w:r>
        <w:rPr>
          <w:rFonts w:ascii="Times New Roman" w:hAnsi="Times New Roman" w:cs="Times New Roman"/>
          <w:sz w:val="24"/>
          <w:szCs w:val="24"/>
        </w:rPr>
        <w:t xml:space="preserve"> </w:t>
      </w:r>
      <w:r w:rsidRPr="00251F51">
        <w:rPr>
          <w:rFonts w:ascii="Times New Roman" w:hAnsi="Times New Roman" w:cs="Times New Roman"/>
          <w:sz w:val="24"/>
          <w:szCs w:val="24"/>
        </w:rPr>
        <w:t>The dedication of land may be proposed</w:t>
      </w:r>
      <w:r>
        <w:rPr>
          <w:rFonts w:ascii="Times New Roman" w:hAnsi="Times New Roman" w:cs="Times New Roman"/>
          <w:sz w:val="24"/>
          <w:szCs w:val="24"/>
        </w:rPr>
        <w:t xml:space="preserve"> </w:t>
      </w:r>
      <w:r w:rsidRPr="0087399A">
        <w:rPr>
          <w:rFonts w:ascii="Times New Roman" w:hAnsi="Times New Roman" w:cs="Times New Roman"/>
          <w:sz w:val="24"/>
          <w:szCs w:val="24"/>
        </w:rPr>
        <w:t>satisfy the housing mitigation</w:t>
      </w:r>
      <w:r>
        <w:rPr>
          <w:rFonts w:ascii="Times New Roman" w:hAnsi="Times New Roman" w:cs="Times New Roman"/>
          <w:sz w:val="24"/>
          <w:szCs w:val="24"/>
        </w:rPr>
        <w:t xml:space="preserve"> requirement</w:t>
      </w:r>
      <w:r w:rsidRPr="00251F51">
        <w:rPr>
          <w:rFonts w:ascii="Times New Roman" w:hAnsi="Times New Roman" w:cs="Times New Roman"/>
          <w:sz w:val="24"/>
          <w:szCs w:val="24"/>
        </w:rPr>
        <w:t>, if it can be determined by the Town that all of the following criteria have been met:</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21"/>
        </w:numPr>
        <w:spacing w:after="0" w:line="240" w:lineRule="auto"/>
        <w:ind w:left="1440"/>
        <w:jc w:val="both"/>
        <w:rPr>
          <w:rFonts w:ascii="Times New Roman" w:hAnsi="Times New Roman" w:cs="Times New Roman"/>
          <w:sz w:val="24"/>
          <w:szCs w:val="24"/>
        </w:rPr>
      </w:pPr>
      <w:r w:rsidRPr="00251F51">
        <w:rPr>
          <w:rFonts w:ascii="Times New Roman" w:hAnsi="Times New Roman" w:cs="Times New Roman"/>
          <w:sz w:val="24"/>
          <w:szCs w:val="24"/>
        </w:rPr>
        <w:t xml:space="preserve">Marketable title to the site is transferred to the Town, or an affordable housing developer or non-profit approved by the Town, no later than the approval of a final map or issuance of first building permit, pursuant to an agreement between the </w:t>
      </w:r>
      <w:r>
        <w:rPr>
          <w:rFonts w:ascii="Times New Roman" w:hAnsi="Times New Roman" w:cs="Times New Roman"/>
          <w:sz w:val="24"/>
          <w:szCs w:val="24"/>
        </w:rPr>
        <w:t xml:space="preserve">market-rate project </w:t>
      </w:r>
      <w:r w:rsidRPr="00251F51">
        <w:rPr>
          <w:rFonts w:ascii="Times New Roman" w:hAnsi="Times New Roman" w:cs="Times New Roman"/>
          <w:sz w:val="24"/>
          <w:szCs w:val="24"/>
        </w:rPr>
        <w:t>developer and the Town, and such agreement is in the best interest of the Town.</w:t>
      </w:r>
    </w:p>
    <w:p w:rsidR="00CD73A6" w:rsidRDefault="00CD73A6" w:rsidP="00CD73A6">
      <w:pPr>
        <w:pStyle w:val="ListParagraph"/>
        <w:spacing w:after="0" w:line="240" w:lineRule="auto"/>
        <w:ind w:left="2520"/>
        <w:jc w:val="both"/>
        <w:rPr>
          <w:rFonts w:ascii="Times New Roman" w:hAnsi="Times New Roman" w:cs="Times New Roman"/>
          <w:sz w:val="24"/>
          <w:szCs w:val="24"/>
        </w:rPr>
      </w:pPr>
    </w:p>
    <w:p w:rsidR="00CD73A6" w:rsidRDefault="00CD73A6" w:rsidP="00CD73A6">
      <w:pPr>
        <w:pStyle w:val="ListParagraph"/>
        <w:numPr>
          <w:ilvl w:val="0"/>
          <w:numId w:val="21"/>
        </w:numPr>
        <w:spacing w:after="0" w:line="240" w:lineRule="auto"/>
        <w:ind w:left="1440"/>
        <w:jc w:val="both"/>
        <w:rPr>
          <w:rFonts w:ascii="Times New Roman" w:hAnsi="Times New Roman" w:cs="Times New Roman"/>
          <w:sz w:val="24"/>
          <w:szCs w:val="24"/>
        </w:rPr>
      </w:pPr>
      <w:r w:rsidRPr="00251F51">
        <w:rPr>
          <w:rFonts w:ascii="Times New Roman" w:hAnsi="Times New Roman" w:cs="Times New Roman"/>
          <w:sz w:val="24"/>
          <w:szCs w:val="24"/>
        </w:rPr>
        <w:t>The site has General Plan</w:t>
      </w:r>
      <w:r>
        <w:rPr>
          <w:rFonts w:ascii="Times New Roman" w:hAnsi="Times New Roman" w:cs="Times New Roman"/>
          <w:sz w:val="24"/>
          <w:szCs w:val="24"/>
        </w:rPr>
        <w:t xml:space="preserve"> and zoning</w:t>
      </w:r>
      <w:r w:rsidRPr="00251F51">
        <w:rPr>
          <w:rFonts w:ascii="Times New Roman" w:hAnsi="Times New Roman" w:cs="Times New Roman"/>
          <w:sz w:val="24"/>
          <w:szCs w:val="24"/>
        </w:rPr>
        <w:t xml:space="preserve"> designation</w:t>
      </w:r>
      <w:r>
        <w:rPr>
          <w:rFonts w:ascii="Times New Roman" w:hAnsi="Times New Roman" w:cs="Times New Roman"/>
          <w:sz w:val="24"/>
          <w:szCs w:val="24"/>
        </w:rPr>
        <w:t>s</w:t>
      </w:r>
      <w:r w:rsidRPr="00251F51">
        <w:rPr>
          <w:rFonts w:ascii="Times New Roman" w:hAnsi="Times New Roman" w:cs="Times New Roman"/>
          <w:sz w:val="24"/>
          <w:szCs w:val="24"/>
        </w:rPr>
        <w:t xml:space="preserve"> that authorize residential uses.</w:t>
      </w:r>
    </w:p>
    <w:p w:rsidR="00CD73A6" w:rsidRDefault="00CD73A6" w:rsidP="00CD73A6">
      <w:pPr>
        <w:pStyle w:val="ListParagraph"/>
        <w:spacing w:after="0" w:line="240" w:lineRule="auto"/>
        <w:ind w:left="2520"/>
        <w:jc w:val="both"/>
        <w:rPr>
          <w:rFonts w:ascii="Times New Roman" w:hAnsi="Times New Roman" w:cs="Times New Roman"/>
          <w:sz w:val="24"/>
          <w:szCs w:val="24"/>
        </w:rPr>
      </w:pPr>
    </w:p>
    <w:p w:rsidR="00CD73A6" w:rsidRDefault="00CD73A6" w:rsidP="00CD73A6">
      <w:pPr>
        <w:pStyle w:val="ListParagraph"/>
        <w:numPr>
          <w:ilvl w:val="0"/>
          <w:numId w:val="21"/>
        </w:numPr>
        <w:spacing w:after="0" w:line="240" w:lineRule="auto"/>
        <w:ind w:left="1440"/>
        <w:jc w:val="both"/>
        <w:rPr>
          <w:rFonts w:ascii="Times New Roman" w:hAnsi="Times New Roman" w:cs="Times New Roman"/>
          <w:sz w:val="24"/>
          <w:szCs w:val="24"/>
        </w:rPr>
      </w:pPr>
      <w:r w:rsidRPr="00051AFE">
        <w:rPr>
          <w:rFonts w:ascii="Times New Roman" w:hAnsi="Times New Roman" w:cs="Times New Roman"/>
          <w:sz w:val="24"/>
          <w:szCs w:val="24"/>
        </w:rPr>
        <w:t xml:space="preserve">The  site  is  suitable  for  development  of  </w:t>
      </w:r>
      <w:r>
        <w:rPr>
          <w:rFonts w:ascii="Times New Roman" w:hAnsi="Times New Roman" w:cs="Times New Roman"/>
          <w:sz w:val="24"/>
          <w:szCs w:val="24"/>
        </w:rPr>
        <w:t>workforce</w:t>
      </w:r>
      <w:r w:rsidRPr="00051AFE">
        <w:rPr>
          <w:rFonts w:ascii="Times New Roman" w:hAnsi="Times New Roman" w:cs="Times New Roman"/>
          <w:sz w:val="24"/>
          <w:szCs w:val="24"/>
        </w:rPr>
        <w:t xml:space="preserve">  units  in  terms  of configuration, physical characteristics, location, access, adjacent uses, and other </w:t>
      </w:r>
      <w:r w:rsidRPr="00051AFE">
        <w:rPr>
          <w:rFonts w:ascii="Times New Roman" w:hAnsi="Times New Roman" w:cs="Times New Roman"/>
          <w:sz w:val="24"/>
          <w:szCs w:val="24"/>
        </w:rPr>
        <w:lastRenderedPageBreak/>
        <w:t>relevant planning and development criteria including, but not limited to, factors such as the cost of construction or development arising from the nature, condition, or location of the site.</w:t>
      </w:r>
    </w:p>
    <w:p w:rsidR="00CD73A6" w:rsidRDefault="00CD73A6" w:rsidP="00CD73A6">
      <w:pPr>
        <w:pStyle w:val="ListParagraph"/>
        <w:spacing w:after="0" w:line="240" w:lineRule="auto"/>
        <w:ind w:left="2520"/>
        <w:jc w:val="both"/>
        <w:rPr>
          <w:rFonts w:ascii="Times New Roman" w:hAnsi="Times New Roman" w:cs="Times New Roman"/>
          <w:sz w:val="24"/>
          <w:szCs w:val="24"/>
        </w:rPr>
      </w:pPr>
    </w:p>
    <w:p w:rsidR="00CD73A6" w:rsidRDefault="00CD73A6" w:rsidP="00CD73A6">
      <w:pPr>
        <w:pStyle w:val="ListParagraph"/>
        <w:numPr>
          <w:ilvl w:val="0"/>
          <w:numId w:val="21"/>
        </w:numPr>
        <w:spacing w:after="0" w:line="240" w:lineRule="auto"/>
        <w:ind w:left="1440"/>
        <w:jc w:val="both"/>
        <w:rPr>
          <w:rFonts w:ascii="Times New Roman" w:hAnsi="Times New Roman" w:cs="Times New Roman"/>
          <w:sz w:val="24"/>
          <w:szCs w:val="24"/>
        </w:rPr>
      </w:pPr>
      <w:r w:rsidRPr="00051AFE">
        <w:rPr>
          <w:rFonts w:ascii="Times New Roman" w:hAnsi="Times New Roman" w:cs="Times New Roman"/>
          <w:sz w:val="24"/>
          <w:szCs w:val="24"/>
        </w:rPr>
        <w:t>Infrastructure to serve the dedicated site, including but not limited to streets and public utilities, must be available</w:t>
      </w:r>
      <w:r w:rsidRPr="00260365">
        <w:rPr>
          <w:rFonts w:ascii="Times New Roman" w:hAnsi="Times New Roman" w:cs="Times New Roman"/>
          <w:sz w:val="24"/>
          <w:szCs w:val="24"/>
        </w:rPr>
        <w:t xml:space="preserve"> </w:t>
      </w:r>
      <w:r w:rsidRPr="00051AFE">
        <w:rPr>
          <w:rFonts w:ascii="Times New Roman" w:hAnsi="Times New Roman" w:cs="Times New Roman"/>
          <w:sz w:val="24"/>
          <w:szCs w:val="24"/>
        </w:rPr>
        <w:t>at the property line, or will be made available prior to issuance of certification of occupancy.</w:t>
      </w:r>
    </w:p>
    <w:p w:rsidR="00CD73A6" w:rsidRDefault="00CD73A6" w:rsidP="00CD73A6">
      <w:pPr>
        <w:pStyle w:val="ListParagraph"/>
        <w:spacing w:after="0" w:line="240" w:lineRule="auto"/>
        <w:ind w:left="2520"/>
        <w:jc w:val="both"/>
        <w:rPr>
          <w:rFonts w:ascii="Times New Roman" w:hAnsi="Times New Roman" w:cs="Times New Roman"/>
          <w:sz w:val="24"/>
          <w:szCs w:val="24"/>
        </w:rPr>
      </w:pPr>
    </w:p>
    <w:p w:rsidR="00CD73A6" w:rsidRDefault="00CD73A6" w:rsidP="00CD73A6">
      <w:pPr>
        <w:pStyle w:val="ListParagraph"/>
        <w:numPr>
          <w:ilvl w:val="0"/>
          <w:numId w:val="21"/>
        </w:numPr>
        <w:spacing w:after="0" w:line="240" w:lineRule="auto"/>
        <w:ind w:left="1440"/>
        <w:jc w:val="both"/>
        <w:rPr>
          <w:rFonts w:ascii="Times New Roman" w:hAnsi="Times New Roman" w:cs="Times New Roman"/>
          <w:sz w:val="24"/>
          <w:szCs w:val="24"/>
        </w:rPr>
      </w:pPr>
      <w:r w:rsidRPr="00051AFE">
        <w:rPr>
          <w:rFonts w:ascii="Times New Roman" w:hAnsi="Times New Roman" w:cs="Times New Roman"/>
          <w:sz w:val="24"/>
          <w:szCs w:val="24"/>
        </w:rPr>
        <w:t>Environmental review of the proposed site has been completed to allow full disclosure for the conveyance of the proposed site, including analysis of the site for the presence of hazardous materials and geological review for the presence of geologic hazards and that such hazards are or will be mitigated to the satisfaction of the Town prior to acceptance of the site by the Town.</w:t>
      </w:r>
    </w:p>
    <w:p w:rsidR="00CD73A6" w:rsidRDefault="00CD73A6" w:rsidP="00CD73A6">
      <w:pPr>
        <w:pStyle w:val="ListParagraph"/>
        <w:spacing w:after="0" w:line="240" w:lineRule="auto"/>
        <w:ind w:left="2520"/>
        <w:jc w:val="both"/>
        <w:rPr>
          <w:rFonts w:ascii="Times New Roman" w:hAnsi="Times New Roman" w:cs="Times New Roman"/>
          <w:sz w:val="24"/>
          <w:szCs w:val="24"/>
        </w:rPr>
      </w:pPr>
    </w:p>
    <w:p w:rsidR="00CD73A6" w:rsidRDefault="00CD73A6" w:rsidP="00CD73A6">
      <w:pPr>
        <w:pStyle w:val="ListParagraph"/>
        <w:numPr>
          <w:ilvl w:val="0"/>
          <w:numId w:val="21"/>
        </w:numPr>
        <w:spacing w:after="0" w:line="240" w:lineRule="auto"/>
        <w:ind w:left="1440"/>
        <w:jc w:val="both"/>
        <w:rPr>
          <w:rFonts w:ascii="Times New Roman" w:hAnsi="Times New Roman" w:cs="Times New Roman"/>
          <w:sz w:val="24"/>
          <w:szCs w:val="24"/>
        </w:rPr>
      </w:pPr>
      <w:r w:rsidRPr="00051AFE">
        <w:rPr>
          <w:rFonts w:ascii="Times New Roman" w:hAnsi="Times New Roman" w:cs="Times New Roman"/>
          <w:sz w:val="24"/>
          <w:szCs w:val="24"/>
        </w:rPr>
        <w:t>The value of the site upon the date of conveyance is equal to or greater than the</w:t>
      </w:r>
      <w:r>
        <w:rPr>
          <w:rFonts w:ascii="Times New Roman" w:hAnsi="Times New Roman" w:cs="Times New Roman"/>
          <w:sz w:val="24"/>
          <w:szCs w:val="24"/>
        </w:rPr>
        <w:t xml:space="preserve"> applicable</w:t>
      </w:r>
      <w:r w:rsidRPr="00051AFE">
        <w:rPr>
          <w:rFonts w:ascii="Times New Roman" w:hAnsi="Times New Roman" w:cs="Times New Roman"/>
          <w:sz w:val="24"/>
          <w:szCs w:val="24"/>
        </w:rPr>
        <w:t xml:space="preserve"> housing fee </w:t>
      </w:r>
      <w:r>
        <w:rPr>
          <w:rFonts w:ascii="Times New Roman" w:hAnsi="Times New Roman" w:cs="Times New Roman"/>
          <w:sz w:val="24"/>
          <w:szCs w:val="24"/>
        </w:rPr>
        <w:t>for the market-rate</w:t>
      </w:r>
      <w:r w:rsidRPr="00051AFE">
        <w:rPr>
          <w:rFonts w:ascii="Times New Roman" w:hAnsi="Times New Roman" w:cs="Times New Roman"/>
          <w:sz w:val="24"/>
          <w:szCs w:val="24"/>
        </w:rPr>
        <w:t xml:space="preserve"> development. Fair market value shall be determined preliminarily at the time the </w:t>
      </w:r>
      <w:r>
        <w:rPr>
          <w:rFonts w:ascii="Times New Roman" w:hAnsi="Times New Roman" w:cs="Times New Roman"/>
          <w:sz w:val="24"/>
          <w:szCs w:val="24"/>
        </w:rPr>
        <w:t>market-rate development</w:t>
      </w:r>
      <w:r w:rsidRPr="00051AFE">
        <w:rPr>
          <w:rFonts w:ascii="Times New Roman" w:hAnsi="Times New Roman" w:cs="Times New Roman"/>
          <w:sz w:val="24"/>
          <w:szCs w:val="24"/>
        </w:rPr>
        <w:t xml:space="preserve"> is submitted to the Town for review. Final determination of fair market value </w:t>
      </w:r>
      <w:r>
        <w:rPr>
          <w:rFonts w:ascii="Times New Roman" w:hAnsi="Times New Roman" w:cs="Times New Roman"/>
          <w:sz w:val="24"/>
          <w:szCs w:val="24"/>
        </w:rPr>
        <w:t>shall</w:t>
      </w:r>
      <w:r w:rsidRPr="00051AFE">
        <w:rPr>
          <w:rFonts w:ascii="Times New Roman" w:hAnsi="Times New Roman" w:cs="Times New Roman"/>
          <w:sz w:val="24"/>
          <w:szCs w:val="24"/>
        </w:rPr>
        <w:t xml:space="preserve"> be made </w:t>
      </w:r>
      <w:r>
        <w:rPr>
          <w:rFonts w:ascii="Times New Roman" w:hAnsi="Times New Roman" w:cs="Times New Roman"/>
          <w:sz w:val="24"/>
          <w:szCs w:val="24"/>
        </w:rPr>
        <w:t>by a licensed California appraiser prior to</w:t>
      </w:r>
      <w:r w:rsidRPr="00051AFE">
        <w:rPr>
          <w:rFonts w:ascii="Times New Roman" w:hAnsi="Times New Roman" w:cs="Times New Roman"/>
          <w:sz w:val="24"/>
          <w:szCs w:val="24"/>
        </w:rPr>
        <w:t xml:space="preserve"> </w:t>
      </w:r>
      <w:r>
        <w:rPr>
          <w:rFonts w:ascii="Times New Roman" w:hAnsi="Times New Roman" w:cs="Times New Roman"/>
          <w:sz w:val="24"/>
          <w:szCs w:val="24"/>
        </w:rPr>
        <w:t>building permit</w:t>
      </w:r>
      <w:r w:rsidRPr="00051AFE">
        <w:rPr>
          <w:rFonts w:ascii="Times New Roman" w:hAnsi="Times New Roman" w:cs="Times New Roman"/>
          <w:sz w:val="24"/>
          <w:szCs w:val="24"/>
        </w:rPr>
        <w:t xml:space="preserve"> </w:t>
      </w:r>
      <w:r>
        <w:rPr>
          <w:rFonts w:ascii="Times New Roman" w:hAnsi="Times New Roman" w:cs="Times New Roman"/>
          <w:sz w:val="24"/>
          <w:szCs w:val="24"/>
        </w:rPr>
        <w:t>issuance</w:t>
      </w:r>
      <w:r w:rsidRPr="00051AFE">
        <w:rPr>
          <w:rFonts w:ascii="Times New Roman" w:hAnsi="Times New Roman" w:cs="Times New Roman"/>
          <w:sz w:val="24"/>
          <w:szCs w:val="24"/>
        </w:rPr>
        <w:t xml:space="preserve"> and shall be net of any real estate commission for the conveyance of the land.</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0"/>
          <w:numId w:val="21"/>
        </w:num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If the value of the site upon the date of conveyance </w:t>
      </w:r>
      <w:r w:rsidRPr="00A12697">
        <w:rPr>
          <w:rFonts w:ascii="Times New Roman" w:hAnsi="Times New Roman" w:cs="Times New Roman"/>
          <w:sz w:val="24"/>
          <w:szCs w:val="24"/>
        </w:rPr>
        <w:t>exceed</w:t>
      </w:r>
      <w:r>
        <w:rPr>
          <w:rFonts w:ascii="Times New Roman" w:hAnsi="Times New Roman" w:cs="Times New Roman"/>
          <w:sz w:val="24"/>
          <w:szCs w:val="24"/>
        </w:rPr>
        <w:t>s</w:t>
      </w:r>
      <w:r w:rsidRPr="00A12697">
        <w:rPr>
          <w:rFonts w:ascii="Times New Roman" w:hAnsi="Times New Roman" w:cs="Times New Roman"/>
          <w:sz w:val="24"/>
          <w:szCs w:val="24"/>
        </w:rPr>
        <w:t xml:space="preserve"> the </w:t>
      </w:r>
      <w:r>
        <w:rPr>
          <w:rFonts w:ascii="Times New Roman" w:hAnsi="Times New Roman" w:cs="Times New Roman"/>
          <w:sz w:val="24"/>
          <w:szCs w:val="24"/>
        </w:rPr>
        <w:t xml:space="preserve">amount </w:t>
      </w:r>
      <w:r w:rsidRPr="00A12697">
        <w:rPr>
          <w:rFonts w:ascii="Times New Roman" w:hAnsi="Times New Roman" w:cs="Times New Roman"/>
          <w:sz w:val="24"/>
          <w:szCs w:val="24"/>
        </w:rPr>
        <w:t xml:space="preserve">of the applicable housing fee pursuant to Section </w:t>
      </w:r>
      <w:r w:rsidRPr="005B0B3E">
        <w:rPr>
          <w:rFonts w:ascii="Times New Roman" w:hAnsi="Times New Roman" w:cs="Times New Roman"/>
          <w:sz w:val="24"/>
          <w:szCs w:val="24"/>
        </w:rPr>
        <w:t>17.136.040</w:t>
      </w:r>
      <w:r>
        <w:rPr>
          <w:rFonts w:ascii="Times New Roman" w:hAnsi="Times New Roman" w:cs="Times New Roman"/>
          <w:sz w:val="24"/>
          <w:szCs w:val="24"/>
        </w:rPr>
        <w:t>, the developer shall be assigned housing mitigation credit for the different in the value of the site upon conveyance and the applicable housing fee, consistent with Section 17.136.030.B.</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20"/>
        </w:numPr>
        <w:spacing w:after="0" w:line="240" w:lineRule="auto"/>
        <w:jc w:val="both"/>
        <w:rPr>
          <w:rFonts w:ascii="Times New Roman" w:hAnsi="Times New Roman" w:cs="Times New Roman"/>
          <w:sz w:val="24"/>
          <w:szCs w:val="24"/>
        </w:rPr>
      </w:pPr>
      <w:r w:rsidRPr="00631192">
        <w:rPr>
          <w:rFonts w:ascii="Times New Roman" w:hAnsi="Times New Roman" w:cs="Times New Roman"/>
          <w:b/>
          <w:sz w:val="24"/>
          <w:szCs w:val="24"/>
        </w:rPr>
        <w:t>Disposition of Land</w:t>
      </w:r>
      <w:r>
        <w:rPr>
          <w:rFonts w:ascii="Times New Roman" w:hAnsi="Times New Roman" w:cs="Times New Roman"/>
          <w:b/>
          <w:sz w:val="24"/>
          <w:szCs w:val="24"/>
        </w:rPr>
        <w:t xml:space="preserve"> by the Town</w:t>
      </w:r>
      <w:r w:rsidRPr="00631192">
        <w:rPr>
          <w:rFonts w:ascii="Times New Roman" w:hAnsi="Times New Roman" w:cs="Times New Roman"/>
          <w:b/>
          <w:sz w:val="24"/>
          <w:szCs w:val="24"/>
        </w:rPr>
        <w:t>.</w:t>
      </w:r>
      <w:r>
        <w:rPr>
          <w:rFonts w:ascii="Times New Roman" w:hAnsi="Times New Roman" w:cs="Times New Roman"/>
          <w:sz w:val="24"/>
          <w:szCs w:val="24"/>
        </w:rPr>
        <w:t xml:space="preserve"> </w:t>
      </w:r>
      <w:r w:rsidRPr="00EC1AE7">
        <w:rPr>
          <w:rFonts w:ascii="Times New Roman" w:hAnsi="Times New Roman" w:cs="Times New Roman"/>
          <w:sz w:val="24"/>
          <w:szCs w:val="24"/>
        </w:rPr>
        <w:t>The Town shall not be required to construct BMR units on the site dedicated to the Town, but may sell, transfer, lease, or otherwise dispose of the dedicated site in order to facilitate the</w:t>
      </w:r>
      <w:r>
        <w:rPr>
          <w:rFonts w:ascii="Times New Roman" w:hAnsi="Times New Roman" w:cs="Times New Roman"/>
          <w:sz w:val="24"/>
          <w:szCs w:val="24"/>
        </w:rPr>
        <w:t xml:space="preserve"> construction of those units and only when a clearly demonstrable greater housing benefit would be achieved as determined by Council. </w:t>
      </w:r>
      <w:r w:rsidRPr="00EC1AE7">
        <w:rPr>
          <w:rFonts w:ascii="Times New Roman" w:hAnsi="Times New Roman" w:cs="Times New Roman"/>
          <w:sz w:val="24"/>
          <w:szCs w:val="24"/>
        </w:rPr>
        <w:t xml:space="preserve">Any funds collected as a result of sale, transfer, lease, or other disposition of sites dedicated to the Town shall be deposited into the Town’s Housing Mitigation Fund and the funds and interest accrued shall remain in the fund and shall be used </w:t>
      </w:r>
      <w:r>
        <w:rPr>
          <w:rFonts w:ascii="Times New Roman" w:hAnsi="Times New Roman" w:cs="Times New Roman"/>
          <w:sz w:val="24"/>
          <w:szCs w:val="24"/>
        </w:rPr>
        <w:t>pursuant to Subsection 17.</w:t>
      </w:r>
      <w:r w:rsidRPr="005B0B3E">
        <w:rPr>
          <w:rFonts w:ascii="Times New Roman" w:hAnsi="Times New Roman" w:cs="Times New Roman"/>
          <w:sz w:val="24"/>
          <w:szCs w:val="24"/>
        </w:rPr>
        <w:t>136.040.G.4.</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20"/>
        </w:numPr>
        <w:spacing w:after="0" w:line="240" w:lineRule="auto"/>
        <w:jc w:val="both"/>
        <w:rPr>
          <w:rFonts w:ascii="Times New Roman" w:hAnsi="Times New Roman" w:cs="Times New Roman"/>
          <w:sz w:val="24"/>
          <w:szCs w:val="24"/>
        </w:rPr>
      </w:pPr>
      <w:r w:rsidRPr="00365385">
        <w:rPr>
          <w:rFonts w:ascii="Times New Roman" w:hAnsi="Times New Roman" w:cs="Times New Roman"/>
          <w:b/>
          <w:sz w:val="24"/>
          <w:szCs w:val="24"/>
        </w:rPr>
        <w:t>Conveyance of Development-Ready Lots within the Project Site.</w:t>
      </w:r>
      <w:r w:rsidRPr="00365385">
        <w:rPr>
          <w:rFonts w:ascii="Times New Roman" w:hAnsi="Times New Roman" w:cs="Times New Roman"/>
          <w:sz w:val="24"/>
          <w:szCs w:val="24"/>
        </w:rPr>
        <w:t xml:space="preserve"> The builder or developer may dedicate </w:t>
      </w:r>
      <w:r>
        <w:rPr>
          <w:rFonts w:ascii="Times New Roman" w:hAnsi="Times New Roman" w:cs="Times New Roman"/>
          <w:sz w:val="24"/>
          <w:szCs w:val="24"/>
        </w:rPr>
        <w:t>development-ready l</w:t>
      </w:r>
      <w:r w:rsidRPr="00365385">
        <w:rPr>
          <w:rFonts w:ascii="Times New Roman" w:hAnsi="Times New Roman" w:cs="Times New Roman"/>
          <w:sz w:val="24"/>
          <w:szCs w:val="24"/>
        </w:rPr>
        <w:t xml:space="preserve">ots within the project site </w:t>
      </w:r>
      <w:r>
        <w:rPr>
          <w:rFonts w:ascii="Times New Roman" w:hAnsi="Times New Roman" w:cs="Times New Roman"/>
          <w:sz w:val="24"/>
          <w:szCs w:val="24"/>
        </w:rPr>
        <w:t>in compliance with</w:t>
      </w:r>
      <w:r w:rsidRPr="00365385">
        <w:rPr>
          <w:rFonts w:ascii="Times New Roman" w:hAnsi="Times New Roman" w:cs="Times New Roman"/>
          <w:sz w:val="24"/>
          <w:szCs w:val="24"/>
        </w:rPr>
        <w:t xml:space="preserve"> the provisions of 17.</w:t>
      </w:r>
      <w:r w:rsidRPr="005B0B3E">
        <w:rPr>
          <w:rFonts w:ascii="Times New Roman" w:hAnsi="Times New Roman" w:cs="Times New Roman"/>
          <w:sz w:val="24"/>
          <w:szCs w:val="24"/>
        </w:rPr>
        <w:t>136.0</w:t>
      </w:r>
      <w:r>
        <w:rPr>
          <w:rFonts w:ascii="Times New Roman" w:hAnsi="Times New Roman" w:cs="Times New Roman"/>
          <w:sz w:val="24"/>
          <w:szCs w:val="24"/>
        </w:rPr>
        <w:t>5</w:t>
      </w:r>
      <w:r w:rsidRPr="005B0B3E">
        <w:rPr>
          <w:rFonts w:ascii="Times New Roman" w:hAnsi="Times New Roman" w:cs="Times New Roman"/>
          <w:sz w:val="24"/>
          <w:szCs w:val="24"/>
        </w:rPr>
        <w:t>0.</w:t>
      </w:r>
      <w:r w:rsidRPr="00365385">
        <w:rPr>
          <w:rFonts w:ascii="Times New Roman" w:hAnsi="Times New Roman" w:cs="Times New Roman"/>
          <w:sz w:val="24"/>
          <w:szCs w:val="24"/>
        </w:rPr>
        <w:t xml:space="preserve"> All such conveyed lots shall be part of an approved final subdivision map and have completed utility connections and roadway improvements at the time of conveyance so as to be development ready.</w:t>
      </w:r>
      <w:r>
        <w:rPr>
          <w:rFonts w:ascii="Times New Roman" w:hAnsi="Times New Roman" w:cs="Times New Roman"/>
          <w:sz w:val="24"/>
          <w:szCs w:val="24"/>
        </w:rPr>
        <w:t xml:space="preserve"> </w:t>
      </w:r>
      <w:r w:rsidRPr="00B718C1">
        <w:rPr>
          <w:rFonts w:ascii="Times New Roman" w:hAnsi="Times New Roman" w:cs="Times New Roman"/>
          <w:sz w:val="24"/>
          <w:szCs w:val="24"/>
        </w:rPr>
        <w:t>Such conveyance shall be subject to the criteria in Section 17.136.070.A.</w:t>
      </w:r>
    </w:p>
    <w:p w:rsidR="00CD73A6" w:rsidRDefault="00CD73A6" w:rsidP="00CD73A6">
      <w:pPr>
        <w:pStyle w:val="ListParagraph"/>
        <w:spacing w:after="0" w:line="240" w:lineRule="auto"/>
        <w:jc w:val="both"/>
        <w:rPr>
          <w:rFonts w:ascii="Times New Roman" w:hAnsi="Times New Roman" w:cs="Times New Roman"/>
          <w:b/>
          <w:sz w:val="24"/>
          <w:szCs w:val="24"/>
        </w:rPr>
      </w:pPr>
    </w:p>
    <w:p w:rsidR="00CD73A6" w:rsidRDefault="00CD73A6" w:rsidP="00CD73A6">
      <w:pPr>
        <w:pStyle w:val="ListParagraph"/>
        <w:spacing w:after="0" w:line="240" w:lineRule="auto"/>
        <w:jc w:val="both"/>
        <w:rPr>
          <w:rFonts w:ascii="Times New Roman" w:hAnsi="Times New Roman" w:cs="Times New Roman"/>
          <w:b/>
          <w:sz w:val="24"/>
          <w:szCs w:val="24"/>
        </w:rPr>
      </w:pPr>
    </w:p>
    <w:p w:rsidR="00CD73A6" w:rsidRPr="00B718C1" w:rsidRDefault="00CD73A6" w:rsidP="00CD73A6">
      <w:pPr>
        <w:pStyle w:val="ListParagraph"/>
        <w:spacing w:after="0" w:line="240" w:lineRule="auto"/>
        <w:jc w:val="both"/>
        <w:rPr>
          <w:rFonts w:ascii="Times New Roman" w:hAnsi="Times New Roman" w:cs="Times New Roman"/>
          <w:sz w:val="24"/>
          <w:szCs w:val="24"/>
        </w:rPr>
      </w:pPr>
    </w:p>
    <w:p w:rsidR="00CD73A6" w:rsidRPr="0049480E" w:rsidRDefault="00CD73A6" w:rsidP="00CD73A6">
      <w:pPr>
        <w:rPr>
          <w:szCs w:val="24"/>
        </w:rPr>
      </w:pPr>
    </w:p>
    <w:p w:rsidR="00CD73A6" w:rsidRPr="00DE5F83" w:rsidRDefault="00CD73A6" w:rsidP="00CD73A6">
      <w:pPr>
        <w:rPr>
          <w:b/>
          <w:szCs w:val="24"/>
        </w:rPr>
      </w:pPr>
      <w:r>
        <w:rPr>
          <w:b/>
          <w:szCs w:val="24"/>
        </w:rPr>
        <w:lastRenderedPageBreak/>
        <w:t>17.136.08</w:t>
      </w:r>
      <w:r w:rsidRPr="00DE5F83">
        <w:rPr>
          <w:b/>
          <w:szCs w:val="24"/>
        </w:rPr>
        <w:t xml:space="preserve">0 </w:t>
      </w:r>
      <w:r>
        <w:rPr>
          <w:b/>
          <w:szCs w:val="24"/>
        </w:rPr>
        <w:t>–</w:t>
      </w:r>
      <w:r w:rsidRPr="00DE5F83">
        <w:rPr>
          <w:b/>
          <w:szCs w:val="24"/>
        </w:rPr>
        <w:t xml:space="preserve"> Alternate Housing Mitigation Plan</w:t>
      </w:r>
    </w:p>
    <w:p w:rsidR="00CD73A6" w:rsidRPr="0049480E" w:rsidRDefault="00CD73A6" w:rsidP="00CD73A6">
      <w:pPr>
        <w:rPr>
          <w:szCs w:val="24"/>
        </w:rPr>
      </w:pPr>
      <w:r w:rsidRPr="0049480E">
        <w:rPr>
          <w:szCs w:val="24"/>
        </w:rPr>
        <w:t xml:space="preserve">Projects that are required to </w:t>
      </w:r>
      <w:r>
        <w:rPr>
          <w:szCs w:val="24"/>
        </w:rPr>
        <w:t xml:space="preserve">mitigate housing and propose to utilize an alternative method of mitigation not identified herein, </w:t>
      </w:r>
      <w:r w:rsidRPr="0049480E">
        <w:rPr>
          <w:szCs w:val="24"/>
        </w:rPr>
        <w:t>may propose an Alternate Housing Mitigation Plan (AHMP) subject to approval by the Town, based on the following provisions:</w:t>
      </w:r>
      <w:r w:rsidRPr="0096038F">
        <w:rPr>
          <w:szCs w:val="24"/>
        </w:rPr>
        <w:t xml:space="preserve"> </w:t>
      </w:r>
    </w:p>
    <w:p w:rsidR="00CD73A6" w:rsidRPr="0049480E" w:rsidRDefault="00CD73A6" w:rsidP="00CD73A6">
      <w:pPr>
        <w:rPr>
          <w:szCs w:val="24"/>
        </w:rPr>
      </w:pPr>
    </w:p>
    <w:p w:rsidR="00CD73A6" w:rsidRDefault="00CD73A6" w:rsidP="00CD73A6">
      <w:pPr>
        <w:pStyle w:val="ListParagraph"/>
        <w:numPr>
          <w:ilvl w:val="0"/>
          <w:numId w:val="22"/>
        </w:numPr>
        <w:spacing w:after="0" w:line="240" w:lineRule="auto"/>
        <w:jc w:val="both"/>
        <w:rPr>
          <w:rFonts w:ascii="Times New Roman" w:hAnsi="Times New Roman" w:cs="Times New Roman"/>
          <w:sz w:val="24"/>
          <w:szCs w:val="24"/>
        </w:rPr>
      </w:pPr>
      <w:r w:rsidRPr="0096038F">
        <w:rPr>
          <w:rFonts w:ascii="Times New Roman" w:hAnsi="Times New Roman" w:cs="Times New Roman"/>
          <w:b/>
          <w:sz w:val="24"/>
          <w:szCs w:val="24"/>
        </w:rPr>
        <w:t>Application</w:t>
      </w:r>
      <w:r w:rsidRPr="0096038F">
        <w:rPr>
          <w:rFonts w:ascii="Times New Roman" w:hAnsi="Times New Roman" w:cs="Times New Roman"/>
          <w:sz w:val="24"/>
          <w:szCs w:val="24"/>
        </w:rPr>
        <w:t>.  An AHMP shall be submitted at time of the application for first approval associated with the project.  The application shall include:</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1"/>
          <w:numId w:val="22"/>
        </w:numPr>
        <w:spacing w:after="0" w:line="240" w:lineRule="auto"/>
        <w:jc w:val="both"/>
        <w:rPr>
          <w:rFonts w:ascii="Times New Roman" w:hAnsi="Times New Roman" w:cs="Times New Roman"/>
          <w:sz w:val="24"/>
          <w:szCs w:val="24"/>
        </w:rPr>
      </w:pPr>
      <w:r w:rsidRPr="0096038F">
        <w:rPr>
          <w:rFonts w:ascii="Times New Roman" w:hAnsi="Times New Roman" w:cs="Times New Roman"/>
          <w:sz w:val="24"/>
          <w:szCs w:val="24"/>
        </w:rPr>
        <w:t>A calculation of the housing mitigation requirements generated by the project, as defined herein.</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22"/>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 xml:space="preserve">A description of the </w:t>
      </w:r>
      <w:r>
        <w:rPr>
          <w:rFonts w:ascii="Times New Roman" w:hAnsi="Times New Roman" w:cs="Times New Roman"/>
          <w:sz w:val="24"/>
          <w:szCs w:val="24"/>
        </w:rPr>
        <w:t>proposal</w:t>
      </w:r>
      <w:r w:rsidRPr="00972DB8">
        <w:rPr>
          <w:rFonts w:ascii="Times New Roman" w:hAnsi="Times New Roman" w:cs="Times New Roman"/>
          <w:sz w:val="24"/>
          <w:szCs w:val="24"/>
        </w:rPr>
        <w:t xml:space="preserve"> by which the housing mitigation requirement is to be satisfied.</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 analysis demonstrating that the AHMP provides housing mitigation at a similar value or cost, number and type of housing units, and level of affordability as other methods </w:t>
      </w:r>
      <w:r w:rsidRPr="00972DB8">
        <w:rPr>
          <w:rFonts w:ascii="Times New Roman" w:hAnsi="Times New Roman" w:cs="Times New Roman"/>
          <w:sz w:val="24"/>
          <w:szCs w:val="24"/>
        </w:rPr>
        <w:t xml:space="preserve">outlined in </w:t>
      </w:r>
      <w:r w:rsidRPr="00D17A94">
        <w:rPr>
          <w:rFonts w:ascii="Times New Roman" w:hAnsi="Times New Roman" w:cs="Times New Roman"/>
          <w:sz w:val="24"/>
          <w:szCs w:val="24"/>
        </w:rPr>
        <w:t>Sections 17.136.0</w:t>
      </w:r>
      <w:r>
        <w:rPr>
          <w:rFonts w:ascii="Times New Roman" w:hAnsi="Times New Roman" w:cs="Times New Roman"/>
          <w:sz w:val="24"/>
          <w:szCs w:val="24"/>
        </w:rPr>
        <w:t>4</w:t>
      </w:r>
      <w:r w:rsidRPr="00D17A94">
        <w:rPr>
          <w:rFonts w:ascii="Times New Roman" w:hAnsi="Times New Roman" w:cs="Times New Roman"/>
          <w:sz w:val="24"/>
          <w:szCs w:val="24"/>
        </w:rPr>
        <w:t>0 through 17.</w:t>
      </w:r>
      <w:r w:rsidRPr="005B0B3E">
        <w:rPr>
          <w:rFonts w:ascii="Times New Roman" w:hAnsi="Times New Roman" w:cs="Times New Roman"/>
          <w:sz w:val="24"/>
          <w:szCs w:val="24"/>
        </w:rPr>
        <w:t>136.070.</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description of how the AHMP is in conformance with the Town’s approved Housing Strategy.</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972DB8" w:rsidRDefault="00CD73A6" w:rsidP="00CD73A6">
      <w:pPr>
        <w:pStyle w:val="ListParagraph"/>
        <w:numPr>
          <w:ilvl w:val="1"/>
          <w:numId w:val="22"/>
        </w:numPr>
        <w:spacing w:after="0" w:line="240" w:lineRule="auto"/>
        <w:jc w:val="both"/>
        <w:rPr>
          <w:rFonts w:ascii="Times New Roman" w:hAnsi="Times New Roman" w:cs="Times New Roman"/>
          <w:sz w:val="24"/>
          <w:szCs w:val="24"/>
        </w:rPr>
      </w:pPr>
      <w:r w:rsidRPr="00972DB8">
        <w:rPr>
          <w:rFonts w:ascii="Times New Roman" w:hAnsi="Times New Roman" w:cs="Times New Roman"/>
          <w:sz w:val="24"/>
          <w:szCs w:val="24"/>
        </w:rPr>
        <w:t>Any other information determined relevant to the application by the Director.</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22"/>
        </w:numPr>
        <w:spacing w:after="0" w:line="240" w:lineRule="auto"/>
        <w:jc w:val="both"/>
        <w:rPr>
          <w:rFonts w:ascii="Times New Roman" w:hAnsi="Times New Roman" w:cs="Times New Roman"/>
          <w:sz w:val="24"/>
          <w:szCs w:val="24"/>
        </w:rPr>
      </w:pPr>
      <w:r w:rsidRPr="00972DB8">
        <w:rPr>
          <w:rFonts w:ascii="Times New Roman" w:hAnsi="Times New Roman" w:cs="Times New Roman"/>
          <w:b/>
          <w:sz w:val="24"/>
          <w:szCs w:val="24"/>
        </w:rPr>
        <w:t>Early Consultation.</w:t>
      </w:r>
      <w:r>
        <w:rPr>
          <w:rFonts w:ascii="Times New Roman" w:hAnsi="Times New Roman" w:cs="Times New Roman"/>
          <w:sz w:val="24"/>
          <w:szCs w:val="24"/>
        </w:rPr>
        <w:t xml:space="preserve">  </w:t>
      </w:r>
      <w:r w:rsidRPr="00972DB8">
        <w:rPr>
          <w:rFonts w:ascii="Times New Roman" w:hAnsi="Times New Roman" w:cs="Times New Roman"/>
          <w:sz w:val="24"/>
          <w:szCs w:val="24"/>
        </w:rPr>
        <w:t>Prior to submitting an application for an AHMP, the applicant should hold preliminary consultations with the Director to provide the applicant information and guidance.</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Pr="00972DB8" w:rsidRDefault="00CD73A6" w:rsidP="00CD73A6">
      <w:pPr>
        <w:pStyle w:val="ListParagraph"/>
        <w:numPr>
          <w:ilvl w:val="0"/>
          <w:numId w:val="22"/>
        </w:numPr>
        <w:spacing w:after="0" w:line="240" w:lineRule="auto"/>
        <w:jc w:val="both"/>
        <w:rPr>
          <w:rFonts w:ascii="Times New Roman" w:hAnsi="Times New Roman" w:cs="Times New Roman"/>
          <w:sz w:val="24"/>
          <w:szCs w:val="24"/>
        </w:rPr>
      </w:pPr>
      <w:r w:rsidRPr="00972DB8">
        <w:rPr>
          <w:rFonts w:ascii="Times New Roman" w:hAnsi="Times New Roman" w:cs="Times New Roman"/>
          <w:b/>
          <w:sz w:val="24"/>
          <w:szCs w:val="24"/>
        </w:rPr>
        <w:t>Approval.</w:t>
      </w:r>
      <w:r>
        <w:rPr>
          <w:rFonts w:ascii="Times New Roman" w:hAnsi="Times New Roman" w:cs="Times New Roman"/>
          <w:sz w:val="24"/>
          <w:szCs w:val="24"/>
        </w:rPr>
        <w:t xml:space="preserve">   </w:t>
      </w:r>
      <w:r w:rsidRPr="00972DB8">
        <w:rPr>
          <w:rFonts w:ascii="Times New Roman" w:hAnsi="Times New Roman" w:cs="Times New Roman"/>
          <w:sz w:val="24"/>
          <w:szCs w:val="24"/>
        </w:rPr>
        <w:t xml:space="preserve">The   </w:t>
      </w:r>
      <w:r>
        <w:rPr>
          <w:rFonts w:ascii="Times New Roman" w:hAnsi="Times New Roman" w:cs="Times New Roman"/>
          <w:sz w:val="24"/>
          <w:szCs w:val="24"/>
        </w:rPr>
        <w:t>Review Authority</w:t>
      </w:r>
      <w:r w:rsidRPr="00972DB8">
        <w:rPr>
          <w:rFonts w:ascii="Times New Roman" w:hAnsi="Times New Roman" w:cs="Times New Roman"/>
          <w:sz w:val="24"/>
          <w:szCs w:val="24"/>
        </w:rPr>
        <w:t xml:space="preserve">   may   approve, conditionally approve, or reject any alternative proposed by a builder/developer as part of an AHMP.  Approval or conditional approval shall be based on the conformance to this Chapter and applicable Council resolutions, including the </w:t>
      </w:r>
      <w:r>
        <w:rPr>
          <w:rFonts w:ascii="Times New Roman" w:hAnsi="Times New Roman" w:cs="Times New Roman"/>
          <w:sz w:val="24"/>
          <w:szCs w:val="24"/>
        </w:rPr>
        <w:t xml:space="preserve">resolution </w:t>
      </w:r>
      <w:r w:rsidRPr="00972DB8">
        <w:rPr>
          <w:rFonts w:ascii="Times New Roman" w:hAnsi="Times New Roman" w:cs="Times New Roman"/>
          <w:sz w:val="24"/>
          <w:szCs w:val="24"/>
        </w:rPr>
        <w:t xml:space="preserve">establishing the target AMI. </w:t>
      </w:r>
    </w:p>
    <w:p w:rsidR="00CD73A6" w:rsidRPr="0049480E" w:rsidRDefault="00CD73A6" w:rsidP="00CD73A6">
      <w:pPr>
        <w:rPr>
          <w:szCs w:val="24"/>
        </w:rPr>
      </w:pPr>
    </w:p>
    <w:p w:rsidR="00CD73A6" w:rsidRPr="00972DB8" w:rsidRDefault="00CD73A6" w:rsidP="00CD73A6">
      <w:pPr>
        <w:rPr>
          <w:b/>
          <w:szCs w:val="24"/>
        </w:rPr>
      </w:pPr>
      <w:r>
        <w:rPr>
          <w:b/>
          <w:szCs w:val="24"/>
        </w:rPr>
        <w:t>17.136.09</w:t>
      </w:r>
      <w:r w:rsidRPr="00972DB8">
        <w:rPr>
          <w:b/>
          <w:szCs w:val="24"/>
        </w:rPr>
        <w:t xml:space="preserve">0 </w:t>
      </w:r>
      <w:r>
        <w:rPr>
          <w:b/>
          <w:szCs w:val="24"/>
        </w:rPr>
        <w:t>–</w:t>
      </w:r>
      <w:r w:rsidRPr="00972DB8">
        <w:rPr>
          <w:b/>
          <w:szCs w:val="24"/>
        </w:rPr>
        <w:t xml:space="preserve"> Residential Projects: Rental permitted if consistent with Costa Hawkins Act</w:t>
      </w:r>
    </w:p>
    <w:p w:rsidR="00CD73A6" w:rsidRPr="0049480E" w:rsidRDefault="00CD73A6" w:rsidP="00CD73A6">
      <w:pPr>
        <w:rPr>
          <w:szCs w:val="24"/>
        </w:rPr>
      </w:pPr>
    </w:p>
    <w:p w:rsidR="00CD73A6" w:rsidRDefault="00CD73A6" w:rsidP="00CD73A6">
      <w:pPr>
        <w:pStyle w:val="ListParagraph"/>
        <w:numPr>
          <w:ilvl w:val="0"/>
          <w:numId w:val="23"/>
        </w:numPr>
        <w:spacing w:after="0" w:line="240" w:lineRule="auto"/>
        <w:jc w:val="both"/>
        <w:rPr>
          <w:rFonts w:ascii="Times New Roman" w:hAnsi="Times New Roman" w:cs="Times New Roman"/>
          <w:sz w:val="24"/>
          <w:szCs w:val="24"/>
        </w:rPr>
      </w:pPr>
      <w:r w:rsidRPr="008B4E89">
        <w:rPr>
          <w:rFonts w:ascii="Times New Roman" w:hAnsi="Times New Roman" w:cs="Times New Roman"/>
          <w:b/>
          <w:sz w:val="24"/>
          <w:szCs w:val="24"/>
        </w:rPr>
        <w:t>Rental Housing Alternative.</w:t>
      </w:r>
      <w:r w:rsidRPr="008B4E89">
        <w:rPr>
          <w:rFonts w:ascii="Times New Roman" w:hAnsi="Times New Roman" w:cs="Times New Roman"/>
          <w:sz w:val="24"/>
          <w:szCs w:val="24"/>
        </w:rPr>
        <w:t xml:space="preserve"> As an alternative to providing </w:t>
      </w:r>
      <w:r>
        <w:rPr>
          <w:rFonts w:ascii="Times New Roman" w:hAnsi="Times New Roman" w:cs="Times New Roman"/>
          <w:sz w:val="24"/>
          <w:szCs w:val="24"/>
        </w:rPr>
        <w:t>for-sale mitigation</w:t>
      </w:r>
      <w:r w:rsidRPr="008B4E89">
        <w:rPr>
          <w:rFonts w:ascii="Times New Roman" w:hAnsi="Times New Roman" w:cs="Times New Roman"/>
          <w:sz w:val="24"/>
          <w:szCs w:val="24"/>
        </w:rPr>
        <w:t xml:space="preserve"> units on-site pursuant to Section 17.136</w:t>
      </w:r>
      <w:r w:rsidRPr="005B0B3E">
        <w:rPr>
          <w:rFonts w:ascii="Times New Roman" w:hAnsi="Times New Roman" w:cs="Times New Roman"/>
          <w:sz w:val="24"/>
          <w:szCs w:val="24"/>
        </w:rPr>
        <w:t>.050,</w:t>
      </w:r>
      <w:r w:rsidRPr="008B4E89">
        <w:rPr>
          <w:rFonts w:ascii="Times New Roman" w:hAnsi="Times New Roman" w:cs="Times New Roman"/>
          <w:sz w:val="24"/>
          <w:szCs w:val="24"/>
        </w:rPr>
        <w:t xml:space="preserve"> an applicant may propose </w:t>
      </w:r>
      <w:r>
        <w:rPr>
          <w:rFonts w:ascii="Times New Roman" w:hAnsi="Times New Roman" w:cs="Times New Roman"/>
          <w:sz w:val="24"/>
          <w:szCs w:val="24"/>
        </w:rPr>
        <w:t>to provide some or all of the mitigation</w:t>
      </w:r>
      <w:r w:rsidRPr="008B4E89">
        <w:rPr>
          <w:rFonts w:ascii="Times New Roman" w:hAnsi="Times New Roman" w:cs="Times New Roman"/>
          <w:sz w:val="24"/>
          <w:szCs w:val="24"/>
        </w:rPr>
        <w:t xml:space="preserve"> units as BMR rental units restricted to occupancy by households at</w:t>
      </w:r>
      <w:r>
        <w:rPr>
          <w:rFonts w:ascii="Times New Roman" w:hAnsi="Times New Roman" w:cs="Times New Roman"/>
          <w:sz w:val="24"/>
          <w:szCs w:val="24"/>
        </w:rPr>
        <w:t xml:space="preserve"> the target proportion of AMI. </w:t>
      </w:r>
      <w:r w:rsidRPr="008B4E89">
        <w:rPr>
          <w:rFonts w:ascii="Times New Roman" w:hAnsi="Times New Roman" w:cs="Times New Roman"/>
          <w:sz w:val="24"/>
          <w:szCs w:val="24"/>
        </w:rPr>
        <w:t xml:space="preserve">The target AMI shall be established by Council </w:t>
      </w:r>
      <w:r>
        <w:rPr>
          <w:rFonts w:ascii="Times New Roman" w:hAnsi="Times New Roman" w:cs="Times New Roman"/>
          <w:sz w:val="24"/>
          <w:szCs w:val="24"/>
        </w:rPr>
        <w:t>r</w:t>
      </w:r>
      <w:r w:rsidRPr="008B4E89">
        <w:rPr>
          <w:rFonts w:ascii="Times New Roman" w:hAnsi="Times New Roman" w:cs="Times New Roman"/>
          <w:sz w:val="24"/>
          <w:szCs w:val="24"/>
        </w:rPr>
        <w:t>esolution. To ensure compliance with the Costa-Hawkins Act (Chapter 2.7 of Title 5 of Part 4 of Division 3 of the Civil Code), the Town may only approve such a proposal if the applicant agrees in a rent regulatory agreement with the Town to limit rents in consideration for a direct financial contribution or a form of assistance specified in Section 65915 of the Government Code (State Density Bonus Law).</w:t>
      </w:r>
    </w:p>
    <w:p w:rsidR="00CD73A6" w:rsidRPr="008B4E89" w:rsidRDefault="00CD73A6" w:rsidP="00CD73A6">
      <w:pPr>
        <w:pStyle w:val="ListParagraph"/>
        <w:spacing w:after="0" w:line="240" w:lineRule="auto"/>
        <w:jc w:val="both"/>
        <w:rPr>
          <w:rFonts w:ascii="Times New Roman" w:hAnsi="Times New Roman" w:cs="Times New Roman"/>
          <w:sz w:val="24"/>
          <w:szCs w:val="24"/>
        </w:rPr>
      </w:pPr>
    </w:p>
    <w:p w:rsidR="00CD73A6" w:rsidRPr="0049480E" w:rsidRDefault="00CD73A6" w:rsidP="00CD73A6">
      <w:pPr>
        <w:rPr>
          <w:szCs w:val="24"/>
        </w:rPr>
      </w:pPr>
    </w:p>
    <w:p w:rsidR="00CD73A6" w:rsidRPr="008B4E89" w:rsidRDefault="00CD73A6" w:rsidP="00CD73A6">
      <w:pPr>
        <w:pStyle w:val="ListParagraph"/>
        <w:numPr>
          <w:ilvl w:val="0"/>
          <w:numId w:val="23"/>
        </w:numPr>
        <w:spacing w:after="0" w:line="240" w:lineRule="auto"/>
        <w:jc w:val="both"/>
        <w:rPr>
          <w:rFonts w:ascii="Times New Roman" w:hAnsi="Times New Roman" w:cs="Times New Roman"/>
          <w:sz w:val="24"/>
          <w:szCs w:val="24"/>
        </w:rPr>
      </w:pPr>
      <w:r w:rsidRPr="008B4E89">
        <w:rPr>
          <w:rFonts w:ascii="Times New Roman" w:hAnsi="Times New Roman" w:cs="Times New Roman"/>
          <w:b/>
          <w:sz w:val="24"/>
          <w:szCs w:val="24"/>
        </w:rPr>
        <w:lastRenderedPageBreak/>
        <w:t>Rental Regulatory Agreement Provisions.</w:t>
      </w:r>
      <w:r w:rsidRPr="008B4E89">
        <w:rPr>
          <w:rFonts w:ascii="Times New Roman" w:hAnsi="Times New Roman" w:cs="Times New Roman"/>
          <w:sz w:val="24"/>
          <w:szCs w:val="24"/>
        </w:rPr>
        <w:t xml:space="preserve"> The rent regulatory agreement with the Town shall include provisions for sale of </w:t>
      </w:r>
      <w:r>
        <w:rPr>
          <w:rFonts w:ascii="Times New Roman" w:hAnsi="Times New Roman" w:cs="Times New Roman"/>
          <w:sz w:val="24"/>
          <w:szCs w:val="24"/>
        </w:rPr>
        <w:t>workforce</w:t>
      </w:r>
      <w:r w:rsidRPr="008B4E89">
        <w:rPr>
          <w:rFonts w:ascii="Times New Roman" w:hAnsi="Times New Roman" w:cs="Times New Roman"/>
          <w:sz w:val="24"/>
          <w:szCs w:val="24"/>
        </w:rPr>
        <w:t xml:space="preserve"> units</w:t>
      </w:r>
      <w:r>
        <w:rPr>
          <w:rFonts w:ascii="Times New Roman" w:hAnsi="Times New Roman" w:cs="Times New Roman"/>
          <w:sz w:val="24"/>
          <w:szCs w:val="24"/>
        </w:rPr>
        <w:t>, including compliance with Section 17.52.110, Condominium Conversions,</w:t>
      </w:r>
      <w:r w:rsidRPr="008B4E89">
        <w:rPr>
          <w:rFonts w:ascii="Times New Roman" w:hAnsi="Times New Roman" w:cs="Times New Roman"/>
          <w:sz w:val="24"/>
          <w:szCs w:val="24"/>
        </w:rPr>
        <w:t xml:space="preserve"> and relocation benefits for tenants of the </w:t>
      </w:r>
      <w:r>
        <w:rPr>
          <w:rFonts w:ascii="Times New Roman" w:hAnsi="Times New Roman" w:cs="Times New Roman"/>
          <w:sz w:val="24"/>
          <w:szCs w:val="24"/>
        </w:rPr>
        <w:t>workforce</w:t>
      </w:r>
      <w:r w:rsidRPr="008B4E89">
        <w:rPr>
          <w:rFonts w:ascii="Times New Roman" w:hAnsi="Times New Roman" w:cs="Times New Roman"/>
          <w:sz w:val="24"/>
          <w:szCs w:val="24"/>
        </w:rPr>
        <w:t xml:space="preserve"> units if the owner of the residential project later determines to offer any </w:t>
      </w:r>
      <w:r>
        <w:rPr>
          <w:rFonts w:ascii="Times New Roman" w:hAnsi="Times New Roman" w:cs="Times New Roman"/>
          <w:sz w:val="24"/>
          <w:szCs w:val="24"/>
        </w:rPr>
        <w:t>workforce</w:t>
      </w:r>
      <w:r w:rsidRPr="008B4E89">
        <w:rPr>
          <w:rFonts w:ascii="Times New Roman" w:hAnsi="Times New Roman" w:cs="Times New Roman"/>
          <w:sz w:val="24"/>
          <w:szCs w:val="24"/>
        </w:rPr>
        <w:t xml:space="preserve"> units in the residential project for sale.  If dwelling units in the residential project</w:t>
      </w:r>
      <w:r>
        <w:rPr>
          <w:rFonts w:ascii="Times New Roman" w:hAnsi="Times New Roman" w:cs="Times New Roman"/>
          <w:sz w:val="24"/>
          <w:szCs w:val="24"/>
        </w:rPr>
        <w:t xml:space="preserve"> are </w:t>
      </w:r>
      <w:r w:rsidRPr="008B4E89">
        <w:rPr>
          <w:rFonts w:ascii="Times New Roman" w:hAnsi="Times New Roman" w:cs="Times New Roman"/>
          <w:sz w:val="24"/>
          <w:szCs w:val="24"/>
        </w:rPr>
        <w:t>later sold</w:t>
      </w:r>
      <w:r>
        <w:rPr>
          <w:rFonts w:ascii="Times New Roman" w:hAnsi="Times New Roman" w:cs="Times New Roman"/>
          <w:sz w:val="24"/>
          <w:szCs w:val="24"/>
        </w:rPr>
        <w:t xml:space="preserve"> at market rate</w:t>
      </w:r>
      <w:r w:rsidRPr="008B4E89">
        <w:rPr>
          <w:rFonts w:ascii="Times New Roman" w:hAnsi="Times New Roman" w:cs="Times New Roman"/>
          <w:sz w:val="24"/>
          <w:szCs w:val="24"/>
        </w:rPr>
        <w:t xml:space="preserve">, the applicant shall pay the specified </w:t>
      </w:r>
      <w:r>
        <w:rPr>
          <w:rFonts w:ascii="Times New Roman" w:hAnsi="Times New Roman" w:cs="Times New Roman"/>
          <w:sz w:val="24"/>
          <w:szCs w:val="24"/>
        </w:rPr>
        <w:t>housing</w:t>
      </w:r>
      <w:r w:rsidRPr="008B4E89">
        <w:rPr>
          <w:rFonts w:ascii="Times New Roman" w:hAnsi="Times New Roman" w:cs="Times New Roman"/>
          <w:sz w:val="24"/>
          <w:szCs w:val="24"/>
        </w:rPr>
        <w:t xml:space="preserve"> fee</w:t>
      </w:r>
      <w:r>
        <w:rPr>
          <w:rFonts w:ascii="Times New Roman" w:hAnsi="Times New Roman" w:cs="Times New Roman"/>
          <w:sz w:val="24"/>
          <w:szCs w:val="24"/>
        </w:rPr>
        <w:t>(</w:t>
      </w:r>
      <w:r w:rsidRPr="008B4E89">
        <w:rPr>
          <w:rFonts w:ascii="Times New Roman" w:hAnsi="Times New Roman" w:cs="Times New Roman"/>
          <w:sz w:val="24"/>
          <w:szCs w:val="24"/>
        </w:rPr>
        <w:t>s</w:t>
      </w:r>
      <w:r>
        <w:rPr>
          <w:rFonts w:ascii="Times New Roman" w:hAnsi="Times New Roman" w:cs="Times New Roman"/>
          <w:sz w:val="24"/>
          <w:szCs w:val="24"/>
        </w:rPr>
        <w:t>)</w:t>
      </w:r>
      <w:r w:rsidRPr="008B4E89">
        <w:rPr>
          <w:rFonts w:ascii="Times New Roman" w:hAnsi="Times New Roman" w:cs="Times New Roman"/>
          <w:sz w:val="24"/>
          <w:szCs w:val="24"/>
        </w:rPr>
        <w:t xml:space="preserve"> described in Section 17.</w:t>
      </w:r>
      <w:r w:rsidRPr="005B0B3E">
        <w:rPr>
          <w:rFonts w:ascii="Times New Roman" w:hAnsi="Times New Roman" w:cs="Times New Roman"/>
          <w:sz w:val="24"/>
          <w:szCs w:val="24"/>
        </w:rPr>
        <w:t xml:space="preserve">136.040, as applicable or other mitigation consistent with this Chapter. </w:t>
      </w:r>
      <w:r>
        <w:rPr>
          <w:rFonts w:ascii="Times New Roman" w:hAnsi="Times New Roman" w:cs="Times New Roman"/>
          <w:sz w:val="24"/>
          <w:szCs w:val="24"/>
        </w:rPr>
        <w:t>If dwelling units are later sold at BMR, c</w:t>
      </w:r>
      <w:r w:rsidRPr="005B0B3E">
        <w:rPr>
          <w:rFonts w:ascii="Times New Roman" w:hAnsi="Times New Roman" w:cs="Times New Roman"/>
          <w:sz w:val="24"/>
          <w:szCs w:val="24"/>
        </w:rPr>
        <w:t>ontinued affordability of such units shall be assured through deed restrictions or other document acceptable to the Director, and include all other relevant requirements as noted in Section 17.136.130.</w:t>
      </w:r>
    </w:p>
    <w:p w:rsidR="00CD73A6" w:rsidRDefault="00CD73A6" w:rsidP="00CD73A6">
      <w:pPr>
        <w:rPr>
          <w:b/>
          <w:szCs w:val="24"/>
        </w:rPr>
      </w:pPr>
    </w:p>
    <w:p w:rsidR="00CD73A6" w:rsidRPr="007A0BEC" w:rsidRDefault="00CD73A6" w:rsidP="00CD73A6">
      <w:pPr>
        <w:rPr>
          <w:b/>
          <w:szCs w:val="24"/>
        </w:rPr>
      </w:pPr>
      <w:r>
        <w:rPr>
          <w:b/>
          <w:szCs w:val="24"/>
        </w:rPr>
        <w:t>17.136.10</w:t>
      </w:r>
      <w:r w:rsidRPr="007A0BEC">
        <w:rPr>
          <w:b/>
          <w:szCs w:val="24"/>
        </w:rPr>
        <w:t xml:space="preserve">0 </w:t>
      </w:r>
      <w:r>
        <w:rPr>
          <w:b/>
          <w:szCs w:val="24"/>
        </w:rPr>
        <w:t>–</w:t>
      </w:r>
      <w:r w:rsidRPr="007A0BEC">
        <w:rPr>
          <w:b/>
          <w:szCs w:val="24"/>
        </w:rPr>
        <w:t xml:space="preserve"> Exemptions from Housing Mitigation Requirements</w:t>
      </w:r>
    </w:p>
    <w:p w:rsidR="00CD73A6" w:rsidRPr="0049480E" w:rsidRDefault="00CD73A6" w:rsidP="00CD73A6">
      <w:pPr>
        <w:rPr>
          <w:szCs w:val="24"/>
        </w:rPr>
      </w:pPr>
      <w:r w:rsidRPr="0049480E">
        <w:rPr>
          <w:szCs w:val="24"/>
        </w:rPr>
        <w:t>The following development types are exempt from the housing mitigation requirements set forth in this Chapter:</w:t>
      </w:r>
    </w:p>
    <w:p w:rsidR="00CD73A6" w:rsidRPr="0049480E" w:rsidRDefault="00CD73A6" w:rsidP="00CD73A6">
      <w:pPr>
        <w:rPr>
          <w:szCs w:val="24"/>
        </w:rPr>
      </w:pPr>
    </w:p>
    <w:p w:rsidR="00CD73A6" w:rsidRDefault="00CD73A6" w:rsidP="00CD73A6">
      <w:pPr>
        <w:pStyle w:val="ListParagraph"/>
        <w:numPr>
          <w:ilvl w:val="2"/>
          <w:numId w:val="22"/>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 xml:space="preserve">Any non-residential development where it can be determined, by the Director, that the project </w:t>
      </w:r>
      <w:r>
        <w:rPr>
          <w:rFonts w:ascii="Times New Roman" w:hAnsi="Times New Roman" w:cs="Times New Roman"/>
          <w:sz w:val="24"/>
          <w:szCs w:val="24"/>
        </w:rPr>
        <w:t xml:space="preserve">would not contribute new demand for employment or housing within the community </w:t>
      </w:r>
      <w:r w:rsidRPr="008B4E89">
        <w:rPr>
          <w:rFonts w:ascii="Times New Roman" w:hAnsi="Times New Roman" w:cs="Times New Roman"/>
          <w:sz w:val="24"/>
          <w:szCs w:val="24"/>
        </w:rPr>
        <w:t>(e.g.</w:t>
      </w:r>
      <w:r>
        <w:rPr>
          <w:rFonts w:ascii="Times New Roman" w:hAnsi="Times New Roman" w:cs="Times New Roman"/>
          <w:sz w:val="24"/>
          <w:szCs w:val="24"/>
        </w:rPr>
        <w:t>,</w:t>
      </w:r>
      <w:r w:rsidRPr="008B4E89">
        <w:rPr>
          <w:rFonts w:ascii="Times New Roman" w:hAnsi="Times New Roman" w:cs="Times New Roman"/>
          <w:sz w:val="24"/>
          <w:szCs w:val="24"/>
        </w:rPr>
        <w:t xml:space="preserve"> replacement of an existing use or facility or addition of non-habitable square footage such as storage)</w:t>
      </w:r>
      <w:r>
        <w:rPr>
          <w:rFonts w:ascii="Times New Roman" w:hAnsi="Times New Roman" w:cs="Times New Roman"/>
          <w:sz w:val="24"/>
          <w:szCs w:val="24"/>
        </w:rPr>
        <w:t xml:space="preserve"> or </w:t>
      </w:r>
      <w:r w:rsidRPr="008B4E89">
        <w:rPr>
          <w:rFonts w:ascii="Times New Roman" w:hAnsi="Times New Roman" w:cs="Times New Roman"/>
          <w:sz w:val="24"/>
          <w:szCs w:val="24"/>
        </w:rPr>
        <w:t xml:space="preserve">would </w:t>
      </w:r>
      <w:r>
        <w:rPr>
          <w:rFonts w:ascii="Times New Roman" w:hAnsi="Times New Roman" w:cs="Times New Roman"/>
          <w:sz w:val="24"/>
          <w:szCs w:val="24"/>
        </w:rPr>
        <w:t>generate no more than one</w:t>
      </w:r>
      <w:r w:rsidRPr="008B4E89">
        <w:rPr>
          <w:rFonts w:ascii="Times New Roman" w:hAnsi="Times New Roman" w:cs="Times New Roman"/>
          <w:sz w:val="24"/>
          <w:szCs w:val="24"/>
        </w:rPr>
        <w:t xml:space="preserve"> </w:t>
      </w:r>
      <w:r>
        <w:rPr>
          <w:rFonts w:ascii="Times New Roman" w:hAnsi="Times New Roman" w:cs="Times New Roman"/>
          <w:sz w:val="24"/>
          <w:szCs w:val="24"/>
        </w:rPr>
        <w:t xml:space="preserve">total </w:t>
      </w:r>
      <w:r w:rsidRPr="008B4E89">
        <w:rPr>
          <w:rFonts w:ascii="Times New Roman" w:hAnsi="Times New Roman" w:cs="Times New Roman"/>
          <w:sz w:val="24"/>
          <w:szCs w:val="24"/>
        </w:rPr>
        <w:t>new</w:t>
      </w:r>
      <w:r>
        <w:rPr>
          <w:rFonts w:ascii="Times New Roman" w:hAnsi="Times New Roman" w:cs="Times New Roman"/>
          <w:sz w:val="24"/>
          <w:szCs w:val="24"/>
        </w:rPr>
        <w:t xml:space="preserve"> employee.</w:t>
      </w:r>
      <w:r w:rsidRPr="008B4E89">
        <w:rPr>
          <w:rFonts w:ascii="Times New Roman" w:hAnsi="Times New Roman" w:cs="Times New Roman"/>
          <w:sz w:val="24"/>
          <w:szCs w:val="24"/>
        </w:rPr>
        <w:t xml:space="preserve"> </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2"/>
          <w:numId w:val="22"/>
        </w:numPr>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Additions to single family homes and multi-family units in any zone.</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2"/>
          <w:numId w:val="22"/>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Multi-family projects of four or fewer units in the Residential Multi-Family 1 Zone, where the average habitable area per unit would not exceed 1,300 square feet.</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2"/>
          <w:numId w:val="22"/>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Live-work units.</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2"/>
          <w:numId w:val="22"/>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Legally-permitted secondary residential units.</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2"/>
          <w:numId w:val="22"/>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 xml:space="preserve">Non-transient market-rate rental apartments. </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2"/>
          <w:numId w:val="22"/>
        </w:numPr>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R</w:t>
      </w:r>
      <w:r w:rsidRPr="008B4E89">
        <w:rPr>
          <w:rFonts w:ascii="Times New Roman" w:hAnsi="Times New Roman" w:cs="Times New Roman"/>
          <w:sz w:val="24"/>
          <w:szCs w:val="24"/>
        </w:rPr>
        <w:t xml:space="preserve">ental or for-sale units </w:t>
      </w:r>
      <w:r>
        <w:rPr>
          <w:rFonts w:ascii="Times New Roman" w:hAnsi="Times New Roman" w:cs="Times New Roman"/>
          <w:sz w:val="24"/>
          <w:szCs w:val="24"/>
        </w:rPr>
        <w:t xml:space="preserve">that are deed restricted to workforce housing </w:t>
      </w:r>
      <w:r w:rsidRPr="008B4E89">
        <w:rPr>
          <w:rFonts w:ascii="Times New Roman" w:hAnsi="Times New Roman" w:cs="Times New Roman"/>
          <w:sz w:val="24"/>
          <w:szCs w:val="24"/>
        </w:rPr>
        <w:t>in any zone.</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2"/>
          <w:numId w:val="22"/>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Any development operated by a non-profit or social services organization to provide food storage, meal service</w:t>
      </w:r>
      <w:r>
        <w:rPr>
          <w:rFonts w:ascii="Times New Roman" w:hAnsi="Times New Roman" w:cs="Times New Roman"/>
          <w:sz w:val="24"/>
          <w:szCs w:val="24"/>
        </w:rPr>
        <w:t>,</w:t>
      </w:r>
      <w:r w:rsidRPr="008B4E89">
        <w:rPr>
          <w:rFonts w:ascii="Times New Roman" w:hAnsi="Times New Roman" w:cs="Times New Roman"/>
          <w:sz w:val="24"/>
          <w:szCs w:val="24"/>
        </w:rPr>
        <w:t xml:space="preserve"> and/or temporary shelter to the homeless.</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2"/>
          <w:numId w:val="22"/>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Residential care and assisted living facilities.</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2"/>
          <w:numId w:val="22"/>
        </w:numPr>
        <w:spacing w:after="0" w:line="240" w:lineRule="auto"/>
        <w:ind w:left="720" w:hanging="540"/>
        <w:jc w:val="both"/>
        <w:rPr>
          <w:rFonts w:ascii="Times New Roman" w:hAnsi="Times New Roman" w:cs="Times New Roman"/>
          <w:sz w:val="24"/>
          <w:szCs w:val="24"/>
        </w:rPr>
      </w:pPr>
      <w:r w:rsidRPr="008B4E89">
        <w:rPr>
          <w:rFonts w:ascii="Times New Roman" w:hAnsi="Times New Roman" w:cs="Times New Roman"/>
          <w:sz w:val="24"/>
          <w:szCs w:val="24"/>
        </w:rPr>
        <w:t xml:space="preserve">Subdivision of property is exempt. Applicable housing fees </w:t>
      </w:r>
      <w:r>
        <w:rPr>
          <w:rFonts w:ascii="Times New Roman" w:hAnsi="Times New Roman" w:cs="Times New Roman"/>
          <w:sz w:val="24"/>
          <w:szCs w:val="24"/>
        </w:rPr>
        <w:t xml:space="preserve">shall be </w:t>
      </w:r>
      <w:r w:rsidRPr="008B4E89">
        <w:rPr>
          <w:rFonts w:ascii="Times New Roman" w:hAnsi="Times New Roman" w:cs="Times New Roman"/>
          <w:sz w:val="24"/>
          <w:szCs w:val="24"/>
        </w:rPr>
        <w:t>assessed at time of building permit issuance.</w:t>
      </w:r>
    </w:p>
    <w:p w:rsidR="00CD73A6" w:rsidRPr="0049480E" w:rsidRDefault="00CD73A6" w:rsidP="00CD73A6">
      <w:pPr>
        <w:rPr>
          <w:szCs w:val="24"/>
        </w:rPr>
      </w:pPr>
    </w:p>
    <w:p w:rsidR="00CD73A6" w:rsidRPr="00284F6B" w:rsidRDefault="00CD73A6" w:rsidP="00CD73A6">
      <w:pPr>
        <w:rPr>
          <w:b/>
          <w:szCs w:val="24"/>
        </w:rPr>
      </w:pPr>
      <w:r w:rsidRPr="00284F6B">
        <w:rPr>
          <w:b/>
          <w:szCs w:val="24"/>
        </w:rPr>
        <w:t>17.136.</w:t>
      </w:r>
      <w:r>
        <w:rPr>
          <w:b/>
          <w:szCs w:val="24"/>
        </w:rPr>
        <w:t>11</w:t>
      </w:r>
      <w:r w:rsidRPr="00284F6B">
        <w:rPr>
          <w:b/>
          <w:szCs w:val="24"/>
        </w:rPr>
        <w:t xml:space="preserve">0 </w:t>
      </w:r>
      <w:r>
        <w:rPr>
          <w:b/>
          <w:szCs w:val="24"/>
        </w:rPr>
        <w:t>–</w:t>
      </w:r>
      <w:r w:rsidRPr="00284F6B">
        <w:rPr>
          <w:b/>
          <w:szCs w:val="24"/>
        </w:rPr>
        <w:t xml:space="preserve"> Time Performance Required</w:t>
      </w:r>
    </w:p>
    <w:p w:rsidR="00CD73A6" w:rsidRPr="0049480E" w:rsidRDefault="00CD73A6" w:rsidP="00CD73A6">
      <w:pPr>
        <w:rPr>
          <w:szCs w:val="24"/>
        </w:rPr>
      </w:pPr>
    </w:p>
    <w:p w:rsidR="00CD73A6" w:rsidRDefault="00CD73A6" w:rsidP="00CD73A6">
      <w:pPr>
        <w:pStyle w:val="ListParagraph"/>
        <w:numPr>
          <w:ilvl w:val="0"/>
          <w:numId w:val="24"/>
        </w:numPr>
        <w:spacing w:after="0" w:line="240" w:lineRule="auto"/>
        <w:jc w:val="both"/>
        <w:rPr>
          <w:rFonts w:ascii="Times New Roman" w:hAnsi="Times New Roman" w:cs="Times New Roman"/>
          <w:sz w:val="24"/>
          <w:szCs w:val="24"/>
        </w:rPr>
      </w:pPr>
      <w:r w:rsidRPr="00900A16">
        <w:rPr>
          <w:rFonts w:ascii="Times New Roman" w:hAnsi="Times New Roman" w:cs="Times New Roman"/>
          <w:sz w:val="24"/>
          <w:szCs w:val="24"/>
        </w:rPr>
        <w:t xml:space="preserve">No certificate of occupancy shall be issued for any </w:t>
      </w:r>
      <w:r>
        <w:rPr>
          <w:rFonts w:ascii="Times New Roman" w:hAnsi="Times New Roman" w:cs="Times New Roman"/>
          <w:sz w:val="24"/>
          <w:szCs w:val="24"/>
        </w:rPr>
        <w:t xml:space="preserve">market-rate unit or development </w:t>
      </w:r>
      <w:r w:rsidRPr="00900A16">
        <w:rPr>
          <w:rFonts w:ascii="Times New Roman" w:hAnsi="Times New Roman" w:cs="Times New Roman"/>
          <w:sz w:val="24"/>
          <w:szCs w:val="24"/>
        </w:rPr>
        <w:t xml:space="preserve">subject to the requirements of this Chapter until the </w:t>
      </w:r>
      <w:proofErr w:type="spellStart"/>
      <w:r w:rsidRPr="00900A16">
        <w:rPr>
          <w:rFonts w:ascii="Times New Roman" w:hAnsi="Times New Roman" w:cs="Times New Roman"/>
          <w:sz w:val="24"/>
          <w:szCs w:val="24"/>
        </w:rPr>
        <w:t>permittee</w:t>
      </w:r>
      <w:proofErr w:type="spellEnd"/>
      <w:r w:rsidRPr="00900A16">
        <w:rPr>
          <w:rFonts w:ascii="Times New Roman" w:hAnsi="Times New Roman" w:cs="Times New Roman"/>
          <w:sz w:val="24"/>
          <w:szCs w:val="24"/>
        </w:rPr>
        <w:t xml:space="preserve"> has:</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1"/>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Complied with housing mitigation requirements</w:t>
      </w:r>
      <w:r w:rsidRPr="00900A16">
        <w:rPr>
          <w:rFonts w:ascii="Times New Roman" w:hAnsi="Times New Roman" w:cs="Times New Roman"/>
          <w:sz w:val="24"/>
          <w:szCs w:val="24"/>
        </w:rPr>
        <w:t xml:space="preserve"> specified i</w:t>
      </w:r>
      <w:r w:rsidRPr="005B0B3E">
        <w:rPr>
          <w:rFonts w:ascii="Times New Roman" w:hAnsi="Times New Roman" w:cs="Times New Roman"/>
          <w:sz w:val="24"/>
          <w:szCs w:val="24"/>
        </w:rPr>
        <w:t>n Sections 17.136.040 to 17.136.</w:t>
      </w:r>
      <w:r>
        <w:rPr>
          <w:rFonts w:ascii="Times New Roman" w:hAnsi="Times New Roman" w:cs="Times New Roman"/>
          <w:sz w:val="24"/>
          <w:szCs w:val="24"/>
        </w:rPr>
        <w:t>07</w:t>
      </w:r>
      <w:r w:rsidRPr="005B0B3E">
        <w:rPr>
          <w:rFonts w:ascii="Times New Roman" w:hAnsi="Times New Roman" w:cs="Times New Roman"/>
          <w:sz w:val="24"/>
          <w:szCs w:val="24"/>
        </w:rPr>
        <w:t>0;</w:t>
      </w:r>
      <w:r w:rsidRPr="00900A16">
        <w:rPr>
          <w:rFonts w:ascii="Times New Roman" w:hAnsi="Times New Roman" w:cs="Times New Roman"/>
          <w:sz w:val="24"/>
          <w:szCs w:val="24"/>
        </w:rPr>
        <w:t xml:space="preserve"> </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Received </w:t>
      </w:r>
      <w:r w:rsidRPr="00900A16">
        <w:rPr>
          <w:rFonts w:ascii="Times New Roman" w:hAnsi="Times New Roman" w:cs="Times New Roman"/>
          <w:sz w:val="24"/>
          <w:szCs w:val="24"/>
        </w:rPr>
        <w:t xml:space="preserve">certification from the Director that the </w:t>
      </w:r>
      <w:proofErr w:type="spellStart"/>
      <w:r w:rsidRPr="00900A16">
        <w:rPr>
          <w:rFonts w:ascii="Times New Roman" w:hAnsi="Times New Roman" w:cs="Times New Roman"/>
          <w:sz w:val="24"/>
          <w:szCs w:val="24"/>
        </w:rPr>
        <w:t>permittee</w:t>
      </w:r>
      <w:proofErr w:type="spellEnd"/>
      <w:r w:rsidRPr="00900A16">
        <w:rPr>
          <w:rFonts w:ascii="Times New Roman" w:hAnsi="Times New Roman" w:cs="Times New Roman"/>
          <w:sz w:val="24"/>
          <w:szCs w:val="24"/>
        </w:rPr>
        <w:t xml:space="preserve"> has met, or made arrangements satisfactory to the Town to meet, an alternative requirement as specified in Section 17.</w:t>
      </w:r>
      <w:r w:rsidRPr="005B0B3E">
        <w:rPr>
          <w:rFonts w:ascii="Times New Roman" w:hAnsi="Times New Roman" w:cs="Times New Roman"/>
          <w:sz w:val="24"/>
          <w:szCs w:val="24"/>
        </w:rPr>
        <w:t>136.080; or</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900A16" w:rsidRDefault="00CD73A6" w:rsidP="00CD73A6">
      <w:pPr>
        <w:pStyle w:val="ListParagraph"/>
        <w:numPr>
          <w:ilvl w:val="1"/>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Received</w:t>
      </w:r>
      <w:r w:rsidRPr="00900A16">
        <w:rPr>
          <w:rFonts w:ascii="Times New Roman" w:hAnsi="Times New Roman" w:cs="Times New Roman"/>
          <w:sz w:val="24"/>
          <w:szCs w:val="24"/>
        </w:rPr>
        <w:t xml:space="preserve"> Director </w:t>
      </w:r>
      <w:proofErr w:type="gramStart"/>
      <w:r>
        <w:rPr>
          <w:rFonts w:ascii="Times New Roman" w:hAnsi="Times New Roman" w:cs="Times New Roman"/>
          <w:sz w:val="24"/>
          <w:szCs w:val="24"/>
        </w:rPr>
        <w:t>approval</w:t>
      </w:r>
      <w:proofErr w:type="gramEnd"/>
      <w:r>
        <w:rPr>
          <w:rFonts w:ascii="Times New Roman" w:hAnsi="Times New Roman" w:cs="Times New Roman"/>
          <w:sz w:val="24"/>
          <w:szCs w:val="24"/>
        </w:rPr>
        <w:t xml:space="preserve"> to </w:t>
      </w:r>
      <w:r w:rsidRPr="00900A16">
        <w:rPr>
          <w:rFonts w:ascii="Times New Roman" w:hAnsi="Times New Roman" w:cs="Times New Roman"/>
          <w:sz w:val="24"/>
          <w:szCs w:val="24"/>
        </w:rPr>
        <w:t xml:space="preserve">modify the timing requirements </w:t>
      </w:r>
      <w:r>
        <w:rPr>
          <w:rFonts w:ascii="Times New Roman" w:hAnsi="Times New Roman" w:cs="Times New Roman"/>
          <w:sz w:val="24"/>
          <w:szCs w:val="24"/>
        </w:rPr>
        <w:t xml:space="preserve">to </w:t>
      </w:r>
      <w:r w:rsidRPr="00900A16">
        <w:rPr>
          <w:rFonts w:ascii="Times New Roman" w:hAnsi="Times New Roman" w:cs="Times New Roman"/>
          <w:sz w:val="24"/>
          <w:szCs w:val="24"/>
        </w:rPr>
        <w:t>accommodate phasing schedules, model variations</w:t>
      </w:r>
      <w:r>
        <w:rPr>
          <w:rFonts w:ascii="Times New Roman" w:hAnsi="Times New Roman" w:cs="Times New Roman"/>
          <w:sz w:val="24"/>
          <w:szCs w:val="24"/>
        </w:rPr>
        <w:t>,</w:t>
      </w:r>
      <w:r w:rsidRPr="00900A16">
        <w:rPr>
          <w:rFonts w:ascii="Times New Roman" w:hAnsi="Times New Roman" w:cs="Times New Roman"/>
          <w:sz w:val="24"/>
          <w:szCs w:val="24"/>
        </w:rPr>
        <w:t xml:space="preserve"> or other </w:t>
      </w:r>
      <w:r>
        <w:rPr>
          <w:rFonts w:ascii="Times New Roman" w:hAnsi="Times New Roman" w:cs="Times New Roman"/>
          <w:sz w:val="24"/>
          <w:szCs w:val="24"/>
        </w:rPr>
        <w:t>appropriate factors. At the discretion of the Director, a form of security (e.g., surety bond, cash-equivalent security, legally-binding commitment, or other form approved by the Director) may be required to approve a modification of the timing requirements.</w:t>
      </w:r>
    </w:p>
    <w:p w:rsidR="00CD73A6" w:rsidRPr="0049480E" w:rsidRDefault="00CD73A6" w:rsidP="00CD73A6">
      <w:pPr>
        <w:rPr>
          <w:szCs w:val="24"/>
        </w:rPr>
      </w:pPr>
    </w:p>
    <w:p w:rsidR="00CD73A6" w:rsidRPr="00900A16" w:rsidRDefault="00CD73A6" w:rsidP="00CD73A6">
      <w:pPr>
        <w:pStyle w:val="ListParagraph"/>
        <w:numPr>
          <w:ilvl w:val="0"/>
          <w:numId w:val="24"/>
        </w:numPr>
        <w:spacing w:after="0" w:line="240" w:lineRule="auto"/>
        <w:jc w:val="both"/>
        <w:rPr>
          <w:rFonts w:ascii="Times New Roman" w:hAnsi="Times New Roman" w:cs="Times New Roman"/>
          <w:sz w:val="24"/>
          <w:szCs w:val="24"/>
        </w:rPr>
      </w:pPr>
      <w:r w:rsidRPr="00900A16">
        <w:rPr>
          <w:rFonts w:ascii="Times New Roman" w:hAnsi="Times New Roman" w:cs="Times New Roman"/>
          <w:sz w:val="24"/>
          <w:szCs w:val="24"/>
        </w:rPr>
        <w:t xml:space="preserve">No final inspection for occupancy for any market-rate unit in a for-sale project shall be completed until the </w:t>
      </w:r>
      <w:proofErr w:type="spellStart"/>
      <w:r w:rsidRPr="00900A16">
        <w:rPr>
          <w:rFonts w:ascii="Times New Roman" w:hAnsi="Times New Roman" w:cs="Times New Roman"/>
          <w:sz w:val="24"/>
          <w:szCs w:val="24"/>
        </w:rPr>
        <w:t>permittee</w:t>
      </w:r>
      <w:proofErr w:type="spellEnd"/>
      <w:r w:rsidRPr="00900A16">
        <w:rPr>
          <w:rFonts w:ascii="Times New Roman" w:hAnsi="Times New Roman" w:cs="Times New Roman"/>
          <w:sz w:val="24"/>
          <w:szCs w:val="24"/>
        </w:rPr>
        <w:t xml:space="preserve"> has </w:t>
      </w:r>
      <w:r>
        <w:rPr>
          <w:rFonts w:ascii="Times New Roman" w:hAnsi="Times New Roman" w:cs="Times New Roman"/>
          <w:sz w:val="24"/>
          <w:szCs w:val="24"/>
        </w:rPr>
        <w:t>complied with Section 17.136.</w:t>
      </w:r>
      <w:r w:rsidRPr="005B0B3E">
        <w:rPr>
          <w:rFonts w:ascii="Times New Roman" w:hAnsi="Times New Roman" w:cs="Times New Roman"/>
          <w:sz w:val="24"/>
          <w:szCs w:val="24"/>
        </w:rPr>
        <w:t>110.A</w:t>
      </w:r>
      <w:r w:rsidRPr="00900A16">
        <w:rPr>
          <w:rFonts w:ascii="Times New Roman" w:hAnsi="Times New Roman" w:cs="Times New Roman"/>
          <w:sz w:val="24"/>
          <w:szCs w:val="24"/>
        </w:rPr>
        <w:t>.</w:t>
      </w:r>
    </w:p>
    <w:p w:rsidR="00CD73A6" w:rsidRPr="0049480E" w:rsidRDefault="00CD73A6" w:rsidP="00CD73A6">
      <w:pPr>
        <w:rPr>
          <w:szCs w:val="24"/>
        </w:rPr>
      </w:pPr>
    </w:p>
    <w:p w:rsidR="00CD73A6" w:rsidRPr="00284F6B" w:rsidRDefault="00CD73A6" w:rsidP="00CD73A6">
      <w:pPr>
        <w:rPr>
          <w:b/>
          <w:szCs w:val="24"/>
        </w:rPr>
      </w:pPr>
      <w:r w:rsidRPr="00284F6B">
        <w:rPr>
          <w:b/>
          <w:szCs w:val="24"/>
        </w:rPr>
        <w:t>17</w:t>
      </w:r>
      <w:r>
        <w:rPr>
          <w:b/>
          <w:szCs w:val="24"/>
        </w:rPr>
        <w:t>.136.120 – Livability Standards</w:t>
      </w:r>
    </w:p>
    <w:p w:rsidR="00CD73A6" w:rsidRPr="0049480E" w:rsidRDefault="00CD73A6" w:rsidP="00CD73A6">
      <w:pPr>
        <w:rPr>
          <w:szCs w:val="24"/>
        </w:rPr>
      </w:pPr>
      <w:r w:rsidRPr="0049480E">
        <w:rPr>
          <w:szCs w:val="24"/>
        </w:rPr>
        <w:t xml:space="preserve">The following </w:t>
      </w:r>
      <w:r>
        <w:rPr>
          <w:szCs w:val="24"/>
        </w:rPr>
        <w:t>livability s</w:t>
      </w:r>
      <w:r w:rsidRPr="0049480E">
        <w:rPr>
          <w:szCs w:val="24"/>
        </w:rPr>
        <w:t xml:space="preserve">tandards shall apply to all </w:t>
      </w:r>
      <w:r>
        <w:rPr>
          <w:szCs w:val="24"/>
        </w:rPr>
        <w:t>housing mitigation</w:t>
      </w:r>
      <w:r w:rsidRPr="0049480E">
        <w:rPr>
          <w:szCs w:val="24"/>
        </w:rPr>
        <w:t xml:space="preserve"> units developed pursuant to</w:t>
      </w:r>
      <w:r>
        <w:rPr>
          <w:szCs w:val="24"/>
        </w:rPr>
        <w:t xml:space="preserve"> </w:t>
      </w:r>
      <w:r w:rsidRPr="0049480E">
        <w:rPr>
          <w:szCs w:val="24"/>
        </w:rPr>
        <w:t>the requi</w:t>
      </w:r>
      <w:r>
        <w:rPr>
          <w:szCs w:val="24"/>
        </w:rPr>
        <w:t xml:space="preserve">rements of the Municipal Code. </w:t>
      </w:r>
      <w:r w:rsidRPr="0049480E">
        <w:rPr>
          <w:szCs w:val="24"/>
        </w:rPr>
        <w:t xml:space="preserve">The intent of these requirements is to ensure that developers of </w:t>
      </w:r>
      <w:r>
        <w:rPr>
          <w:szCs w:val="24"/>
        </w:rPr>
        <w:t>housing mitigation</w:t>
      </w:r>
      <w:r w:rsidRPr="0049480E">
        <w:rPr>
          <w:szCs w:val="24"/>
        </w:rPr>
        <w:t xml:space="preserve"> units build units that meet minimum standards of square footage and amenities necessary for households living and working in Mammoth Lakes.</w:t>
      </w:r>
    </w:p>
    <w:p w:rsidR="00CD73A6" w:rsidRPr="0049480E" w:rsidRDefault="00CD73A6" w:rsidP="00CD73A6">
      <w:pPr>
        <w:rPr>
          <w:szCs w:val="24"/>
        </w:rPr>
      </w:pPr>
    </w:p>
    <w:p w:rsidR="00CD73A6" w:rsidRDefault="00CD73A6" w:rsidP="00CD73A6">
      <w:pPr>
        <w:pStyle w:val="ListParagraph"/>
        <w:numPr>
          <w:ilvl w:val="0"/>
          <w:numId w:val="26"/>
        </w:numPr>
        <w:spacing w:after="0" w:line="240" w:lineRule="auto"/>
        <w:jc w:val="both"/>
        <w:rPr>
          <w:rFonts w:ascii="Times New Roman" w:hAnsi="Times New Roman" w:cs="Times New Roman"/>
          <w:sz w:val="24"/>
          <w:szCs w:val="24"/>
        </w:rPr>
      </w:pPr>
      <w:r w:rsidRPr="00FB3AB9">
        <w:rPr>
          <w:rFonts w:ascii="Times New Roman" w:hAnsi="Times New Roman" w:cs="Times New Roman"/>
          <w:b/>
          <w:sz w:val="24"/>
          <w:szCs w:val="24"/>
        </w:rPr>
        <w:t>Distribution of Units.</w:t>
      </w:r>
      <w:r>
        <w:rPr>
          <w:rFonts w:ascii="Times New Roman" w:hAnsi="Times New Roman" w:cs="Times New Roman"/>
          <w:sz w:val="24"/>
          <w:szCs w:val="24"/>
        </w:rPr>
        <w:t xml:space="preserve"> Housing mitigation</w:t>
      </w:r>
      <w:r w:rsidRPr="00FB3AB9">
        <w:rPr>
          <w:rFonts w:ascii="Times New Roman" w:hAnsi="Times New Roman" w:cs="Times New Roman"/>
          <w:sz w:val="24"/>
          <w:szCs w:val="24"/>
        </w:rPr>
        <w:t xml:space="preserve"> units shall be distributed throughout a project to the extent feasible, and, where units at multiple levels of affordability are proposed, such units shall also be distributed both throughout the project and in relationship to one another to the extent feasible. </w:t>
      </w:r>
    </w:p>
    <w:p w:rsidR="00CD73A6" w:rsidRPr="00FB3AB9"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26"/>
        </w:numPr>
        <w:spacing w:after="0" w:line="240" w:lineRule="auto"/>
        <w:jc w:val="both"/>
        <w:rPr>
          <w:rFonts w:ascii="Times New Roman" w:hAnsi="Times New Roman" w:cs="Times New Roman"/>
          <w:sz w:val="24"/>
          <w:szCs w:val="24"/>
        </w:rPr>
      </w:pPr>
      <w:r w:rsidRPr="00FB3AB9">
        <w:rPr>
          <w:rFonts w:ascii="Times New Roman" w:hAnsi="Times New Roman" w:cs="Times New Roman"/>
          <w:b/>
          <w:sz w:val="24"/>
          <w:szCs w:val="24"/>
        </w:rPr>
        <w:t>Size of Units.</w:t>
      </w:r>
      <w:r w:rsidRPr="00FB3AB9">
        <w:rPr>
          <w:rFonts w:ascii="Times New Roman" w:hAnsi="Times New Roman" w:cs="Times New Roman"/>
          <w:sz w:val="24"/>
          <w:szCs w:val="24"/>
        </w:rPr>
        <w:t xml:space="preserve"> </w:t>
      </w:r>
      <w:r>
        <w:rPr>
          <w:rFonts w:ascii="Times New Roman" w:hAnsi="Times New Roman" w:cs="Times New Roman"/>
          <w:sz w:val="24"/>
          <w:szCs w:val="24"/>
        </w:rPr>
        <w:t>Housing mitigation</w:t>
      </w:r>
      <w:r w:rsidRPr="00FB3AB9">
        <w:rPr>
          <w:rFonts w:ascii="Times New Roman" w:hAnsi="Times New Roman" w:cs="Times New Roman"/>
          <w:sz w:val="24"/>
          <w:szCs w:val="24"/>
        </w:rPr>
        <w:t xml:space="preserve"> units shall meet minimum size requirements for square footage and number of rooms. It is the Town’s desire to achieve comparability of average size and number of rooms of </w:t>
      </w:r>
      <w:r>
        <w:rPr>
          <w:rFonts w:ascii="Times New Roman" w:hAnsi="Times New Roman" w:cs="Times New Roman"/>
          <w:sz w:val="24"/>
          <w:szCs w:val="24"/>
        </w:rPr>
        <w:t>housing mitigation units and market-</w:t>
      </w:r>
      <w:r w:rsidRPr="00FB3AB9">
        <w:rPr>
          <w:rFonts w:ascii="Times New Roman" w:hAnsi="Times New Roman" w:cs="Times New Roman"/>
          <w:sz w:val="24"/>
          <w:szCs w:val="24"/>
        </w:rPr>
        <w:t xml:space="preserve">rate units to the extent feasible. </w:t>
      </w:r>
    </w:p>
    <w:p w:rsidR="00CD73A6" w:rsidRPr="00FB3AB9"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26"/>
        </w:numPr>
        <w:spacing w:after="0" w:line="240" w:lineRule="auto"/>
        <w:jc w:val="both"/>
        <w:rPr>
          <w:rFonts w:ascii="Times New Roman" w:hAnsi="Times New Roman" w:cs="Times New Roman"/>
          <w:sz w:val="24"/>
          <w:szCs w:val="24"/>
        </w:rPr>
      </w:pPr>
      <w:r w:rsidRPr="00FB3AB9">
        <w:rPr>
          <w:rFonts w:ascii="Times New Roman" w:hAnsi="Times New Roman" w:cs="Times New Roman"/>
          <w:b/>
          <w:sz w:val="24"/>
          <w:szCs w:val="24"/>
        </w:rPr>
        <w:t>Minimum Square Footage.</w:t>
      </w:r>
      <w:r>
        <w:rPr>
          <w:rFonts w:ascii="Times New Roman" w:hAnsi="Times New Roman" w:cs="Times New Roman"/>
          <w:sz w:val="24"/>
          <w:szCs w:val="24"/>
        </w:rPr>
        <w:t xml:space="preserve"> Housing mitigation</w:t>
      </w:r>
      <w:r w:rsidRPr="00FB3AB9">
        <w:rPr>
          <w:rFonts w:ascii="Times New Roman" w:hAnsi="Times New Roman" w:cs="Times New Roman"/>
          <w:sz w:val="24"/>
          <w:szCs w:val="24"/>
        </w:rPr>
        <w:t xml:space="preserve"> units shall  meet  the following  minimum square footage requirements, exclusive of garages, decks and balconies, as follows:</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1"/>
          <w:numId w:val="27"/>
        </w:numPr>
        <w:spacing w:after="0" w:line="240" w:lineRule="auto"/>
        <w:jc w:val="both"/>
        <w:rPr>
          <w:rFonts w:ascii="Times New Roman" w:hAnsi="Times New Roman" w:cs="Times New Roman"/>
          <w:sz w:val="24"/>
          <w:szCs w:val="24"/>
        </w:rPr>
      </w:pPr>
      <w:r w:rsidRPr="00FB3AB9">
        <w:rPr>
          <w:rFonts w:ascii="Times New Roman" w:hAnsi="Times New Roman" w:cs="Times New Roman"/>
          <w:sz w:val="24"/>
          <w:szCs w:val="24"/>
        </w:rPr>
        <w:t>A studio unit shall be no less than 450 square feet</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27"/>
        </w:numPr>
        <w:spacing w:after="0" w:line="240" w:lineRule="auto"/>
        <w:jc w:val="both"/>
        <w:rPr>
          <w:rFonts w:ascii="Times New Roman" w:hAnsi="Times New Roman" w:cs="Times New Roman"/>
          <w:sz w:val="24"/>
          <w:szCs w:val="24"/>
        </w:rPr>
      </w:pPr>
      <w:r w:rsidRPr="00FB3AB9">
        <w:rPr>
          <w:rFonts w:ascii="Times New Roman" w:hAnsi="Times New Roman" w:cs="Times New Roman"/>
          <w:sz w:val="24"/>
          <w:szCs w:val="24"/>
        </w:rPr>
        <w:t>A one (1) bedroom unit shall be no less than 650 square feet</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27"/>
        </w:numPr>
        <w:spacing w:after="0" w:line="240" w:lineRule="auto"/>
        <w:jc w:val="both"/>
        <w:rPr>
          <w:rFonts w:ascii="Times New Roman" w:hAnsi="Times New Roman" w:cs="Times New Roman"/>
          <w:sz w:val="24"/>
          <w:szCs w:val="24"/>
        </w:rPr>
      </w:pPr>
      <w:r w:rsidRPr="00FB3AB9">
        <w:rPr>
          <w:rFonts w:ascii="Times New Roman" w:hAnsi="Times New Roman" w:cs="Times New Roman"/>
          <w:sz w:val="24"/>
          <w:szCs w:val="24"/>
        </w:rPr>
        <w:t>A two (2) bedroom unit shall be no less than 900 square feet</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27"/>
        </w:numPr>
        <w:spacing w:after="0" w:line="240" w:lineRule="auto"/>
        <w:jc w:val="both"/>
        <w:rPr>
          <w:rFonts w:ascii="Times New Roman" w:hAnsi="Times New Roman" w:cs="Times New Roman"/>
          <w:sz w:val="24"/>
          <w:szCs w:val="24"/>
        </w:rPr>
      </w:pPr>
      <w:r w:rsidRPr="00FB3AB9">
        <w:rPr>
          <w:rFonts w:ascii="Times New Roman" w:hAnsi="Times New Roman" w:cs="Times New Roman"/>
          <w:sz w:val="24"/>
          <w:szCs w:val="24"/>
        </w:rPr>
        <w:t>A three (3) bedroom unit shall be no less than 1,150 square feet</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FB3AB9" w:rsidRDefault="00CD73A6" w:rsidP="00CD73A6">
      <w:pPr>
        <w:pStyle w:val="ListParagraph"/>
        <w:numPr>
          <w:ilvl w:val="1"/>
          <w:numId w:val="27"/>
        </w:numPr>
        <w:spacing w:after="0" w:line="240" w:lineRule="auto"/>
        <w:jc w:val="both"/>
        <w:rPr>
          <w:rFonts w:ascii="Times New Roman" w:hAnsi="Times New Roman" w:cs="Times New Roman"/>
          <w:sz w:val="24"/>
          <w:szCs w:val="24"/>
        </w:rPr>
      </w:pPr>
      <w:r w:rsidRPr="00FB3AB9">
        <w:rPr>
          <w:rFonts w:ascii="Times New Roman" w:hAnsi="Times New Roman" w:cs="Times New Roman"/>
          <w:sz w:val="24"/>
          <w:szCs w:val="24"/>
        </w:rPr>
        <w:t>A four (4) bedroom unit shall be no less than 1,350 square feet</w:t>
      </w:r>
    </w:p>
    <w:p w:rsidR="00CD73A6" w:rsidRDefault="00CD73A6" w:rsidP="00CD73A6">
      <w:pPr>
        <w:rPr>
          <w:szCs w:val="24"/>
        </w:rPr>
      </w:pPr>
    </w:p>
    <w:p w:rsidR="00CD73A6" w:rsidRPr="00FB3AB9" w:rsidRDefault="00CD73A6" w:rsidP="00CD73A6">
      <w:pPr>
        <w:pStyle w:val="ListParagraph"/>
        <w:numPr>
          <w:ilvl w:val="0"/>
          <w:numId w:val="26"/>
        </w:numPr>
        <w:spacing w:after="0" w:line="240" w:lineRule="auto"/>
        <w:jc w:val="both"/>
        <w:rPr>
          <w:rFonts w:ascii="Times New Roman" w:hAnsi="Times New Roman" w:cs="Times New Roman"/>
          <w:b/>
          <w:sz w:val="24"/>
          <w:szCs w:val="24"/>
        </w:rPr>
      </w:pPr>
      <w:r w:rsidRPr="00FB3AB9">
        <w:rPr>
          <w:rFonts w:ascii="Times New Roman" w:hAnsi="Times New Roman" w:cs="Times New Roman"/>
          <w:b/>
          <w:sz w:val="24"/>
          <w:szCs w:val="24"/>
        </w:rPr>
        <w:t>Amenities and Design Standards.</w:t>
      </w:r>
      <w:r>
        <w:rPr>
          <w:rFonts w:ascii="Times New Roman" w:hAnsi="Times New Roman" w:cs="Times New Roman"/>
          <w:b/>
          <w:sz w:val="24"/>
          <w:szCs w:val="24"/>
        </w:rPr>
        <w:t xml:space="preserve"> </w:t>
      </w:r>
      <w:r>
        <w:rPr>
          <w:rFonts w:ascii="Times New Roman" w:hAnsi="Times New Roman" w:cs="Times New Roman"/>
          <w:sz w:val="24"/>
          <w:szCs w:val="24"/>
        </w:rPr>
        <w:t>Housing mitigation units shall meet minimum amenity and design s</w:t>
      </w:r>
      <w:r w:rsidRPr="00FB3AB9">
        <w:rPr>
          <w:rFonts w:ascii="Times New Roman" w:hAnsi="Times New Roman" w:cs="Times New Roman"/>
          <w:sz w:val="24"/>
          <w:szCs w:val="24"/>
        </w:rPr>
        <w:t xml:space="preserve">tandards adopted by </w:t>
      </w:r>
      <w:r>
        <w:rPr>
          <w:rFonts w:ascii="Times New Roman" w:hAnsi="Times New Roman" w:cs="Times New Roman"/>
          <w:sz w:val="24"/>
          <w:szCs w:val="24"/>
        </w:rPr>
        <w:t>Council resolution</w:t>
      </w:r>
      <w:r w:rsidRPr="00FB3AB9">
        <w:rPr>
          <w:rFonts w:ascii="Times New Roman" w:hAnsi="Times New Roman" w:cs="Times New Roman"/>
          <w:sz w:val="24"/>
          <w:szCs w:val="24"/>
        </w:rPr>
        <w:t>. These standards may be revised, as needed, to meet changing workforce housing needs and housing development practices and</w:t>
      </w:r>
      <w:r>
        <w:rPr>
          <w:rFonts w:ascii="Times New Roman" w:hAnsi="Times New Roman" w:cs="Times New Roman"/>
          <w:sz w:val="24"/>
          <w:szCs w:val="24"/>
        </w:rPr>
        <w:t xml:space="preserve"> technologies. The amenities and design s</w:t>
      </w:r>
      <w:r w:rsidRPr="00FB3AB9">
        <w:rPr>
          <w:rFonts w:ascii="Times New Roman" w:hAnsi="Times New Roman" w:cs="Times New Roman"/>
          <w:sz w:val="24"/>
          <w:szCs w:val="24"/>
        </w:rPr>
        <w:t>tandards shall address minimum requirements for:</w:t>
      </w:r>
    </w:p>
    <w:p w:rsidR="00CD73A6" w:rsidRDefault="00CD73A6" w:rsidP="00CD73A6">
      <w:pPr>
        <w:pStyle w:val="ListParagraph"/>
        <w:spacing w:after="0" w:line="240" w:lineRule="auto"/>
        <w:jc w:val="both"/>
        <w:rPr>
          <w:rFonts w:ascii="Times New Roman" w:hAnsi="Times New Roman" w:cs="Times New Roman"/>
          <w:b/>
          <w:sz w:val="24"/>
          <w:szCs w:val="24"/>
        </w:rPr>
      </w:pPr>
    </w:p>
    <w:p w:rsidR="00CD73A6" w:rsidRPr="00FB3AB9" w:rsidRDefault="00CD73A6" w:rsidP="00CD73A6">
      <w:pPr>
        <w:pStyle w:val="ListParagraph"/>
        <w:numPr>
          <w:ilvl w:val="1"/>
          <w:numId w:val="28"/>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Kitchen, bathroom, laundry, and other appliances and fixtures, including appliance and fixture energy and water efficiency standards;</w:t>
      </w:r>
    </w:p>
    <w:p w:rsidR="00CD73A6" w:rsidRPr="00FB3AB9" w:rsidRDefault="00CD73A6" w:rsidP="00CD73A6">
      <w:pPr>
        <w:pStyle w:val="ListParagraph"/>
        <w:spacing w:after="0" w:line="240" w:lineRule="auto"/>
        <w:ind w:left="1440"/>
        <w:jc w:val="both"/>
        <w:rPr>
          <w:rFonts w:ascii="Times New Roman" w:hAnsi="Times New Roman" w:cs="Times New Roman"/>
          <w:b/>
          <w:sz w:val="24"/>
          <w:szCs w:val="24"/>
        </w:rPr>
      </w:pPr>
    </w:p>
    <w:p w:rsidR="00CD73A6" w:rsidRPr="00FB3AB9" w:rsidRDefault="00CD73A6" w:rsidP="00CD73A6">
      <w:pPr>
        <w:pStyle w:val="ListParagraph"/>
        <w:numPr>
          <w:ilvl w:val="1"/>
          <w:numId w:val="28"/>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 xml:space="preserve">Minimum kitchen cabinet, </w:t>
      </w:r>
      <w:r>
        <w:rPr>
          <w:rFonts w:ascii="Times New Roman" w:hAnsi="Times New Roman" w:cs="Times New Roman"/>
          <w:sz w:val="24"/>
          <w:szCs w:val="24"/>
        </w:rPr>
        <w:t>closet, and other storage space;</w:t>
      </w:r>
    </w:p>
    <w:p w:rsidR="00CD73A6" w:rsidRPr="00FB3AB9" w:rsidRDefault="00CD73A6" w:rsidP="00CD73A6">
      <w:pPr>
        <w:pStyle w:val="ListParagraph"/>
        <w:spacing w:after="0" w:line="240" w:lineRule="auto"/>
        <w:ind w:left="1440"/>
        <w:jc w:val="both"/>
        <w:rPr>
          <w:rFonts w:ascii="Times New Roman" w:hAnsi="Times New Roman" w:cs="Times New Roman"/>
          <w:b/>
          <w:sz w:val="24"/>
          <w:szCs w:val="24"/>
        </w:rPr>
      </w:pPr>
    </w:p>
    <w:p w:rsidR="00CD73A6" w:rsidRPr="00FB3AB9" w:rsidRDefault="00CD73A6" w:rsidP="00CD73A6">
      <w:pPr>
        <w:pStyle w:val="ListParagraph"/>
        <w:numPr>
          <w:ilvl w:val="1"/>
          <w:numId w:val="2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Dining area;</w:t>
      </w:r>
    </w:p>
    <w:p w:rsidR="00CD73A6" w:rsidRPr="00FB3AB9" w:rsidRDefault="00CD73A6" w:rsidP="00CD73A6">
      <w:pPr>
        <w:pStyle w:val="ListParagraph"/>
        <w:spacing w:after="0" w:line="240" w:lineRule="auto"/>
        <w:ind w:left="1440"/>
        <w:jc w:val="both"/>
        <w:rPr>
          <w:rFonts w:ascii="Times New Roman" w:hAnsi="Times New Roman" w:cs="Times New Roman"/>
          <w:b/>
          <w:sz w:val="24"/>
          <w:szCs w:val="24"/>
        </w:rPr>
      </w:pPr>
    </w:p>
    <w:p w:rsidR="00CD73A6" w:rsidRPr="00FB3AB9" w:rsidRDefault="00CD73A6" w:rsidP="00CD73A6">
      <w:pPr>
        <w:pStyle w:val="ListParagraph"/>
        <w:numPr>
          <w:ilvl w:val="1"/>
          <w:numId w:val="28"/>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Number and dimensions of bedrooms;</w:t>
      </w:r>
    </w:p>
    <w:p w:rsidR="00CD73A6" w:rsidRPr="00FB3AB9" w:rsidRDefault="00CD73A6" w:rsidP="00CD73A6">
      <w:pPr>
        <w:pStyle w:val="ListParagraph"/>
        <w:spacing w:after="0" w:line="240" w:lineRule="auto"/>
        <w:ind w:left="1440"/>
        <w:jc w:val="both"/>
        <w:rPr>
          <w:rFonts w:ascii="Times New Roman" w:hAnsi="Times New Roman" w:cs="Times New Roman"/>
          <w:b/>
          <w:sz w:val="24"/>
          <w:szCs w:val="24"/>
        </w:rPr>
      </w:pPr>
    </w:p>
    <w:p w:rsidR="00CD73A6" w:rsidRPr="00FB3AB9" w:rsidRDefault="00CD73A6" w:rsidP="00CD73A6">
      <w:pPr>
        <w:pStyle w:val="ListParagraph"/>
        <w:numPr>
          <w:ilvl w:val="1"/>
          <w:numId w:val="28"/>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Number of bathrooms, bathroom fixtures, and amenities;</w:t>
      </w:r>
    </w:p>
    <w:p w:rsidR="00CD73A6" w:rsidRPr="00FB3AB9" w:rsidRDefault="00CD73A6" w:rsidP="00CD73A6">
      <w:pPr>
        <w:pStyle w:val="ListParagraph"/>
        <w:spacing w:after="0" w:line="240" w:lineRule="auto"/>
        <w:ind w:left="1440"/>
        <w:jc w:val="both"/>
        <w:rPr>
          <w:rFonts w:ascii="Times New Roman" w:hAnsi="Times New Roman" w:cs="Times New Roman"/>
          <w:b/>
          <w:sz w:val="24"/>
          <w:szCs w:val="24"/>
        </w:rPr>
      </w:pPr>
    </w:p>
    <w:p w:rsidR="00CD73A6" w:rsidRPr="00FB3AB9" w:rsidRDefault="00CD73A6" w:rsidP="00CD73A6">
      <w:pPr>
        <w:pStyle w:val="ListParagraph"/>
        <w:numPr>
          <w:ilvl w:val="1"/>
          <w:numId w:val="28"/>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Sound insulation and other noise attenuation;</w:t>
      </w:r>
    </w:p>
    <w:p w:rsidR="00CD73A6" w:rsidRPr="00FB3AB9" w:rsidRDefault="00CD73A6" w:rsidP="00CD73A6">
      <w:pPr>
        <w:pStyle w:val="ListParagraph"/>
        <w:spacing w:after="0" w:line="240" w:lineRule="auto"/>
        <w:ind w:left="1440"/>
        <w:jc w:val="both"/>
        <w:rPr>
          <w:rFonts w:ascii="Times New Roman" w:hAnsi="Times New Roman" w:cs="Times New Roman"/>
          <w:b/>
          <w:sz w:val="24"/>
          <w:szCs w:val="24"/>
        </w:rPr>
      </w:pPr>
    </w:p>
    <w:p w:rsidR="00CD73A6" w:rsidRPr="00FB3AB9" w:rsidRDefault="00CD73A6" w:rsidP="00CD73A6">
      <w:pPr>
        <w:pStyle w:val="ListParagraph"/>
        <w:numPr>
          <w:ilvl w:val="1"/>
          <w:numId w:val="28"/>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Quality and external appearance of construction materials and finishes;</w:t>
      </w:r>
    </w:p>
    <w:p w:rsidR="00CD73A6" w:rsidRPr="00FB3AB9" w:rsidRDefault="00CD73A6" w:rsidP="00CD73A6">
      <w:pPr>
        <w:pStyle w:val="ListParagraph"/>
        <w:spacing w:after="0" w:line="240" w:lineRule="auto"/>
        <w:ind w:left="1440"/>
        <w:jc w:val="both"/>
        <w:rPr>
          <w:rFonts w:ascii="Times New Roman" w:hAnsi="Times New Roman" w:cs="Times New Roman"/>
          <w:b/>
          <w:sz w:val="24"/>
          <w:szCs w:val="24"/>
        </w:rPr>
      </w:pPr>
    </w:p>
    <w:p w:rsidR="00CD73A6" w:rsidRPr="00FB3AB9" w:rsidRDefault="00CD73A6" w:rsidP="00CD73A6">
      <w:pPr>
        <w:pStyle w:val="ListParagraph"/>
        <w:numPr>
          <w:ilvl w:val="1"/>
          <w:numId w:val="28"/>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 xml:space="preserve">Comparability of project amenities for occupants of </w:t>
      </w:r>
      <w:r>
        <w:rPr>
          <w:rFonts w:ascii="Times New Roman" w:hAnsi="Times New Roman" w:cs="Times New Roman"/>
          <w:sz w:val="24"/>
          <w:szCs w:val="24"/>
        </w:rPr>
        <w:t>housing mitigation</w:t>
      </w:r>
      <w:r w:rsidRPr="00FB3AB9">
        <w:rPr>
          <w:rFonts w:ascii="Times New Roman" w:hAnsi="Times New Roman" w:cs="Times New Roman"/>
          <w:sz w:val="24"/>
          <w:szCs w:val="24"/>
        </w:rPr>
        <w:t xml:space="preserve"> units relative</w:t>
      </w:r>
      <w:r>
        <w:rPr>
          <w:rFonts w:ascii="Times New Roman" w:hAnsi="Times New Roman" w:cs="Times New Roman"/>
          <w:sz w:val="24"/>
          <w:szCs w:val="24"/>
        </w:rPr>
        <w:t xml:space="preserve"> to market-</w:t>
      </w:r>
      <w:r w:rsidRPr="00FB3AB9">
        <w:rPr>
          <w:rFonts w:ascii="Times New Roman" w:hAnsi="Times New Roman" w:cs="Times New Roman"/>
          <w:sz w:val="24"/>
          <w:szCs w:val="24"/>
        </w:rPr>
        <w:t>rate units (except as specified in Chapter 17.140); and</w:t>
      </w:r>
    </w:p>
    <w:p w:rsidR="00CD73A6" w:rsidRPr="00FB3AB9" w:rsidRDefault="00CD73A6" w:rsidP="00CD73A6">
      <w:pPr>
        <w:pStyle w:val="ListParagraph"/>
        <w:spacing w:after="0" w:line="240" w:lineRule="auto"/>
        <w:ind w:left="1440"/>
        <w:jc w:val="both"/>
        <w:rPr>
          <w:rFonts w:ascii="Times New Roman" w:hAnsi="Times New Roman" w:cs="Times New Roman"/>
          <w:b/>
          <w:sz w:val="24"/>
          <w:szCs w:val="24"/>
        </w:rPr>
      </w:pPr>
    </w:p>
    <w:p w:rsidR="00CD73A6" w:rsidRPr="00FB3AB9" w:rsidRDefault="00CD73A6" w:rsidP="00CD73A6">
      <w:pPr>
        <w:pStyle w:val="ListParagraph"/>
        <w:numPr>
          <w:ilvl w:val="1"/>
          <w:numId w:val="28"/>
        </w:numPr>
        <w:spacing w:after="0" w:line="240" w:lineRule="auto"/>
        <w:jc w:val="both"/>
        <w:rPr>
          <w:rFonts w:ascii="Times New Roman" w:hAnsi="Times New Roman" w:cs="Times New Roman"/>
          <w:b/>
          <w:sz w:val="24"/>
          <w:szCs w:val="24"/>
        </w:rPr>
      </w:pPr>
      <w:r w:rsidRPr="00FB3AB9">
        <w:rPr>
          <w:rFonts w:ascii="Times New Roman" w:hAnsi="Times New Roman" w:cs="Times New Roman"/>
          <w:sz w:val="24"/>
          <w:szCs w:val="24"/>
        </w:rPr>
        <w:t>Convenient  access  to  private  or  common  outdoor  space  that  is  provided  in conformance with Section 17.52.210 (Multi-Family Residential Projects).</w:t>
      </w:r>
    </w:p>
    <w:p w:rsidR="00CD73A6" w:rsidRPr="00FB3AB9" w:rsidRDefault="00CD73A6" w:rsidP="00CD73A6">
      <w:pPr>
        <w:pStyle w:val="ListParagraph"/>
        <w:spacing w:after="0" w:line="240" w:lineRule="auto"/>
        <w:jc w:val="both"/>
        <w:rPr>
          <w:rFonts w:ascii="Times New Roman" w:hAnsi="Times New Roman" w:cs="Times New Roman"/>
          <w:b/>
          <w:sz w:val="24"/>
          <w:szCs w:val="24"/>
        </w:rPr>
      </w:pPr>
    </w:p>
    <w:p w:rsidR="00CD73A6" w:rsidRPr="00FB3AB9" w:rsidRDefault="00CD73A6" w:rsidP="00CD73A6">
      <w:pPr>
        <w:pStyle w:val="ListParagraph"/>
        <w:numPr>
          <w:ilvl w:val="0"/>
          <w:numId w:val="26"/>
        </w:numPr>
        <w:spacing w:after="0" w:line="240" w:lineRule="auto"/>
        <w:jc w:val="both"/>
        <w:rPr>
          <w:rFonts w:ascii="Times New Roman" w:hAnsi="Times New Roman" w:cs="Times New Roman"/>
          <w:b/>
          <w:sz w:val="24"/>
          <w:szCs w:val="24"/>
        </w:rPr>
      </w:pPr>
      <w:r w:rsidRPr="00FB3AB9">
        <w:rPr>
          <w:rFonts w:ascii="Times New Roman" w:hAnsi="Times New Roman" w:cs="Times New Roman"/>
          <w:b/>
          <w:sz w:val="24"/>
          <w:szCs w:val="24"/>
        </w:rPr>
        <w:t>Request for Waiver or Modification of Livability Standards.</w:t>
      </w:r>
    </w:p>
    <w:p w:rsidR="00CD73A6" w:rsidRPr="0049480E" w:rsidRDefault="00CD73A6" w:rsidP="00CD73A6">
      <w:pPr>
        <w:rPr>
          <w:szCs w:val="24"/>
        </w:rPr>
      </w:pPr>
    </w:p>
    <w:p w:rsidR="00CD73A6" w:rsidRDefault="00CD73A6" w:rsidP="00CD73A6">
      <w:pPr>
        <w:pStyle w:val="ListParagraph"/>
        <w:numPr>
          <w:ilvl w:val="3"/>
          <w:numId w:val="29"/>
        </w:numPr>
        <w:spacing w:after="0" w:line="240" w:lineRule="auto"/>
        <w:ind w:left="1440"/>
        <w:jc w:val="both"/>
        <w:rPr>
          <w:rFonts w:ascii="Times New Roman" w:hAnsi="Times New Roman" w:cs="Times New Roman"/>
          <w:sz w:val="24"/>
          <w:szCs w:val="24"/>
        </w:rPr>
      </w:pPr>
      <w:r w:rsidRPr="00FB3AB9">
        <w:rPr>
          <w:rFonts w:ascii="Times New Roman" w:hAnsi="Times New Roman" w:cs="Times New Roman"/>
          <w:sz w:val="24"/>
          <w:szCs w:val="24"/>
        </w:rPr>
        <w:t xml:space="preserve">A developer may submit a request for a waiver or modification of one or more of the </w:t>
      </w:r>
      <w:r>
        <w:rPr>
          <w:rFonts w:ascii="Times New Roman" w:hAnsi="Times New Roman" w:cs="Times New Roman"/>
          <w:sz w:val="24"/>
          <w:szCs w:val="24"/>
        </w:rPr>
        <w:t xml:space="preserve">livability </w:t>
      </w:r>
      <w:r w:rsidRPr="00FB3AB9">
        <w:rPr>
          <w:rFonts w:ascii="Times New Roman" w:hAnsi="Times New Roman" w:cs="Times New Roman"/>
          <w:sz w:val="24"/>
          <w:szCs w:val="24"/>
        </w:rPr>
        <w:t xml:space="preserve">standards based on site- or project-specific conditions that would make strict compliance with that standard infeasible or impractical. </w:t>
      </w:r>
      <w:r>
        <w:rPr>
          <w:rFonts w:ascii="Times New Roman" w:hAnsi="Times New Roman" w:cs="Times New Roman"/>
          <w:sz w:val="24"/>
          <w:szCs w:val="24"/>
        </w:rPr>
        <w:t xml:space="preserve">Specifics regarding the allowable waivers and deviations from standards shall be described in the Council resolution for amenity and design standards identified in Subsection 17.136.120.D. </w:t>
      </w:r>
      <w:r w:rsidRPr="00FB3AB9">
        <w:rPr>
          <w:rFonts w:ascii="Times New Roman" w:hAnsi="Times New Roman" w:cs="Times New Roman"/>
          <w:sz w:val="24"/>
          <w:szCs w:val="24"/>
        </w:rPr>
        <w:t xml:space="preserve"> Agreement to any such concession shall be made at the discretion of the Review Authority.</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FB3AB9" w:rsidRDefault="00CD73A6" w:rsidP="00CD73A6">
      <w:pPr>
        <w:pStyle w:val="ListParagraph"/>
        <w:numPr>
          <w:ilvl w:val="3"/>
          <w:numId w:val="29"/>
        </w:numPr>
        <w:spacing w:after="0" w:line="240" w:lineRule="auto"/>
        <w:ind w:left="1440"/>
        <w:jc w:val="both"/>
        <w:rPr>
          <w:rFonts w:ascii="Times New Roman" w:hAnsi="Times New Roman" w:cs="Times New Roman"/>
          <w:sz w:val="24"/>
          <w:szCs w:val="24"/>
        </w:rPr>
      </w:pPr>
      <w:r w:rsidRPr="00FB3AB9">
        <w:rPr>
          <w:rFonts w:ascii="Times New Roman" w:hAnsi="Times New Roman" w:cs="Times New Roman"/>
          <w:sz w:val="24"/>
          <w:szCs w:val="24"/>
        </w:rPr>
        <w:t>In the case of off-site units provided through acquisition and rehabilitation of existing unit(s), particularly when such units are located within an existing larger development of market-rate units, strict adherence to standards for interior room size and configuration, noise insulation, number of bathrooms, and common areas used by all residents of the project shall only be required to the extent feasible based on the existing characteristics and locati</w:t>
      </w:r>
      <w:r>
        <w:rPr>
          <w:rFonts w:ascii="Times New Roman" w:hAnsi="Times New Roman" w:cs="Times New Roman"/>
          <w:sz w:val="24"/>
          <w:szCs w:val="24"/>
        </w:rPr>
        <w:t xml:space="preserve">on of the unit being acquired. </w:t>
      </w:r>
      <w:r w:rsidRPr="00FB3AB9">
        <w:rPr>
          <w:rFonts w:ascii="Times New Roman" w:hAnsi="Times New Roman" w:cs="Times New Roman"/>
          <w:sz w:val="24"/>
          <w:szCs w:val="24"/>
        </w:rPr>
        <w:t>Such a determination shall be made by the Director.</w:t>
      </w:r>
    </w:p>
    <w:p w:rsidR="00CD73A6" w:rsidRPr="0049480E" w:rsidRDefault="00CD73A6" w:rsidP="00CD73A6">
      <w:pPr>
        <w:rPr>
          <w:szCs w:val="24"/>
        </w:rPr>
      </w:pPr>
    </w:p>
    <w:p w:rsidR="00CD73A6" w:rsidRPr="00284F6B" w:rsidRDefault="00CD73A6" w:rsidP="00CD73A6">
      <w:pPr>
        <w:rPr>
          <w:b/>
          <w:szCs w:val="24"/>
        </w:rPr>
      </w:pPr>
      <w:r w:rsidRPr="00284F6B">
        <w:rPr>
          <w:b/>
          <w:szCs w:val="24"/>
        </w:rPr>
        <w:lastRenderedPageBreak/>
        <w:t>17.136</w:t>
      </w:r>
      <w:r>
        <w:rPr>
          <w:b/>
          <w:szCs w:val="24"/>
        </w:rPr>
        <w:t>.13</w:t>
      </w:r>
      <w:r w:rsidRPr="00284F6B">
        <w:rPr>
          <w:b/>
          <w:szCs w:val="24"/>
        </w:rPr>
        <w:t xml:space="preserve">0 </w:t>
      </w:r>
      <w:r>
        <w:rPr>
          <w:b/>
          <w:szCs w:val="24"/>
        </w:rPr>
        <w:t>–</w:t>
      </w:r>
      <w:r w:rsidRPr="00284F6B">
        <w:rPr>
          <w:b/>
          <w:szCs w:val="24"/>
        </w:rPr>
        <w:t xml:space="preserve"> Eligibility, Continued Affordability</w:t>
      </w:r>
    </w:p>
    <w:p w:rsidR="00CD73A6" w:rsidRPr="0049480E" w:rsidRDefault="00CD73A6" w:rsidP="00CD73A6">
      <w:pPr>
        <w:rPr>
          <w:szCs w:val="24"/>
        </w:rPr>
      </w:pPr>
    </w:p>
    <w:p w:rsidR="00CD73A6" w:rsidRPr="005A575A" w:rsidRDefault="00CD73A6" w:rsidP="00CD73A6">
      <w:pPr>
        <w:pStyle w:val="ListParagraph"/>
        <w:numPr>
          <w:ilvl w:val="0"/>
          <w:numId w:val="31"/>
        </w:numPr>
        <w:spacing w:after="0" w:line="240" w:lineRule="auto"/>
        <w:jc w:val="both"/>
        <w:rPr>
          <w:rFonts w:ascii="Times New Roman" w:hAnsi="Times New Roman" w:cs="Times New Roman"/>
          <w:sz w:val="24"/>
          <w:szCs w:val="24"/>
        </w:rPr>
      </w:pPr>
      <w:r w:rsidRPr="00FB3AB9">
        <w:rPr>
          <w:rFonts w:ascii="Times New Roman" w:hAnsi="Times New Roman" w:cs="Times New Roman"/>
          <w:b/>
          <w:sz w:val="24"/>
          <w:szCs w:val="24"/>
        </w:rPr>
        <w:t>Eligibility for Below Market Rate Units (owner-occupied and rental units)</w:t>
      </w:r>
    </w:p>
    <w:p w:rsidR="00CD73A6" w:rsidRDefault="00CD73A6" w:rsidP="00CD73A6">
      <w:pPr>
        <w:pStyle w:val="ListParagraph"/>
        <w:spacing w:after="0" w:line="240" w:lineRule="auto"/>
        <w:jc w:val="both"/>
        <w:rPr>
          <w:rFonts w:ascii="Times New Roman" w:hAnsi="Times New Roman" w:cs="Times New Roman"/>
          <w:b/>
          <w:sz w:val="24"/>
          <w:szCs w:val="24"/>
        </w:rPr>
      </w:pPr>
    </w:p>
    <w:p w:rsidR="00CD73A6" w:rsidRDefault="00CD73A6" w:rsidP="00CD73A6">
      <w:pPr>
        <w:pStyle w:val="ListParagraph"/>
        <w:numPr>
          <w:ilvl w:val="3"/>
          <w:numId w:val="32"/>
        </w:numPr>
        <w:spacing w:after="0" w:line="240" w:lineRule="auto"/>
        <w:ind w:left="1440"/>
        <w:jc w:val="both"/>
        <w:rPr>
          <w:rFonts w:ascii="Times New Roman" w:hAnsi="Times New Roman" w:cs="Times New Roman"/>
          <w:sz w:val="24"/>
          <w:szCs w:val="24"/>
        </w:rPr>
      </w:pPr>
      <w:r w:rsidRPr="00FB3AB9">
        <w:rPr>
          <w:rFonts w:ascii="Times New Roman" w:hAnsi="Times New Roman" w:cs="Times New Roman"/>
          <w:sz w:val="24"/>
          <w:szCs w:val="24"/>
        </w:rPr>
        <w:t>No household shall be permitted to occupy a BMR unit, or to purchase a BMR unit for owner occupancy, unless the Town or its designee has approved the household’s eligi</w:t>
      </w:r>
      <w:r>
        <w:rPr>
          <w:rFonts w:ascii="Times New Roman" w:hAnsi="Times New Roman" w:cs="Times New Roman"/>
          <w:sz w:val="24"/>
          <w:szCs w:val="24"/>
        </w:rPr>
        <w:t xml:space="preserve">bility. </w:t>
      </w:r>
      <w:r w:rsidRPr="00FB3AB9">
        <w:rPr>
          <w:rFonts w:ascii="Times New Roman" w:hAnsi="Times New Roman" w:cs="Times New Roman"/>
          <w:sz w:val="24"/>
          <w:szCs w:val="24"/>
        </w:rPr>
        <w:t xml:space="preserve">If the Town or its designee maintains a list of eligible households, households selected to occupy such units shall be first selected from that  list  to  the  extent  provided  in  the  </w:t>
      </w:r>
      <w:r>
        <w:rPr>
          <w:rFonts w:ascii="Times New Roman" w:hAnsi="Times New Roman" w:cs="Times New Roman"/>
          <w:sz w:val="24"/>
          <w:szCs w:val="24"/>
        </w:rPr>
        <w:t>workforce</w:t>
      </w:r>
      <w:r w:rsidRPr="00FB3AB9">
        <w:rPr>
          <w:rFonts w:ascii="Times New Roman" w:hAnsi="Times New Roman" w:cs="Times New Roman"/>
          <w:sz w:val="24"/>
          <w:szCs w:val="24"/>
        </w:rPr>
        <w:t xml:space="preserve">  housing  agreement,  rent regulatory agreement, or resale restrictions.</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5A575A" w:rsidRDefault="00CD73A6" w:rsidP="00CD73A6">
      <w:pPr>
        <w:pStyle w:val="ListParagraph"/>
        <w:numPr>
          <w:ilvl w:val="3"/>
          <w:numId w:val="32"/>
        </w:numPr>
        <w:spacing w:after="0" w:line="240" w:lineRule="auto"/>
        <w:ind w:left="1440"/>
        <w:jc w:val="both"/>
        <w:rPr>
          <w:rFonts w:ascii="Times New Roman" w:hAnsi="Times New Roman" w:cs="Times New Roman"/>
          <w:sz w:val="24"/>
          <w:szCs w:val="24"/>
        </w:rPr>
      </w:pPr>
      <w:r w:rsidRPr="005A575A">
        <w:rPr>
          <w:rFonts w:ascii="Times New Roman" w:hAnsi="Times New Roman" w:cs="Times New Roman"/>
          <w:sz w:val="24"/>
          <w:szCs w:val="24"/>
        </w:rPr>
        <w:t>Any household which occupies a rental BMR unit or purchases a BMR unit shall occupy that unit as its principal residence and shall not lease or sublease to a different party</w:t>
      </w:r>
      <w:r>
        <w:rPr>
          <w:rFonts w:ascii="Times New Roman" w:hAnsi="Times New Roman" w:cs="Times New Roman"/>
          <w:sz w:val="24"/>
          <w:szCs w:val="24"/>
        </w:rPr>
        <w:t>, unless allowed in special circumstances as documented in the deed restriction</w:t>
      </w:r>
      <w:r w:rsidRPr="005A575A">
        <w:rPr>
          <w:rFonts w:ascii="Times New Roman" w:hAnsi="Times New Roman" w:cs="Times New Roman"/>
          <w:sz w:val="24"/>
          <w:szCs w:val="24"/>
        </w:rPr>
        <w:t>.</w:t>
      </w:r>
    </w:p>
    <w:p w:rsidR="00CD73A6" w:rsidRPr="005A575A"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31"/>
        </w:numPr>
        <w:spacing w:after="0" w:line="240" w:lineRule="auto"/>
        <w:jc w:val="both"/>
        <w:rPr>
          <w:rFonts w:ascii="Times New Roman" w:hAnsi="Times New Roman" w:cs="Times New Roman"/>
          <w:sz w:val="24"/>
          <w:szCs w:val="24"/>
        </w:rPr>
      </w:pPr>
      <w:r w:rsidRPr="005A575A">
        <w:rPr>
          <w:rFonts w:ascii="Times New Roman" w:hAnsi="Times New Roman" w:cs="Times New Roman"/>
          <w:b/>
          <w:sz w:val="24"/>
          <w:szCs w:val="24"/>
        </w:rPr>
        <w:t>Continued Affordability Requirements (owner-occupied and rental units).</w:t>
      </w:r>
      <w:r w:rsidRPr="005A575A">
        <w:rPr>
          <w:rFonts w:ascii="Times New Roman" w:hAnsi="Times New Roman" w:cs="Times New Roman"/>
          <w:sz w:val="24"/>
          <w:szCs w:val="24"/>
        </w:rPr>
        <w:t xml:space="preserve">  Prior to the issuance of certificates of occupancy for BMR units provided in accordance with this Chapter, resale restrictions, deeds of trust, rent regulatory agreements</w:t>
      </w:r>
      <w:r>
        <w:rPr>
          <w:rFonts w:ascii="Times New Roman" w:hAnsi="Times New Roman" w:cs="Times New Roman"/>
          <w:sz w:val="24"/>
          <w:szCs w:val="24"/>
        </w:rPr>
        <w:t>,</w:t>
      </w:r>
      <w:r w:rsidRPr="005A575A">
        <w:rPr>
          <w:rFonts w:ascii="Times New Roman" w:hAnsi="Times New Roman" w:cs="Times New Roman"/>
          <w:sz w:val="24"/>
          <w:szCs w:val="24"/>
        </w:rPr>
        <w:t xml:space="preserve"> and/or other documents, as appropriate, all of which must be acceptable to the Director and Town Attorney and consistent with the requirements of this Chapter, shall be recorded against parcels or units having such BMR units and shall ensure that each BMR unit remains affordable to the same income level for a minimum of </w:t>
      </w:r>
      <w:r>
        <w:rPr>
          <w:rFonts w:ascii="Times New Roman" w:hAnsi="Times New Roman" w:cs="Times New Roman"/>
          <w:sz w:val="24"/>
          <w:szCs w:val="24"/>
        </w:rPr>
        <w:t>55 years for rental units and a minimum of 60 years for ownership unit</w:t>
      </w:r>
      <w:r w:rsidRPr="005A575A">
        <w:rPr>
          <w:rFonts w:ascii="Times New Roman" w:hAnsi="Times New Roman" w:cs="Times New Roman"/>
          <w:sz w:val="24"/>
          <w:szCs w:val="24"/>
        </w:rPr>
        <w:t xml:space="preserve"> years.</w:t>
      </w:r>
      <w:r>
        <w:rPr>
          <w:rFonts w:ascii="Times New Roman" w:hAnsi="Times New Roman" w:cs="Times New Roman"/>
          <w:sz w:val="24"/>
          <w:szCs w:val="24"/>
        </w:rPr>
        <w:t xml:space="preserve"> </w:t>
      </w:r>
      <w:r w:rsidRPr="005A575A">
        <w:rPr>
          <w:rFonts w:ascii="Times New Roman" w:hAnsi="Times New Roman" w:cs="Times New Roman"/>
          <w:sz w:val="24"/>
          <w:szCs w:val="24"/>
        </w:rPr>
        <w:t>At a minimum agreements provided in accordance with this Section shall provide:</w:t>
      </w:r>
    </w:p>
    <w:p w:rsidR="00CD73A6" w:rsidRPr="005A575A"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1"/>
          <w:numId w:val="31"/>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 xml:space="preserve">A provision to provide the Town or its qualified designee the continuing right-of- first-refusal to purchase or lease any or all of the designated dwelling units at the appraised value of the unit </w:t>
      </w:r>
      <w:r>
        <w:rPr>
          <w:rFonts w:ascii="Times New Roman" w:hAnsi="Times New Roman" w:cs="Times New Roman"/>
          <w:sz w:val="24"/>
          <w:szCs w:val="24"/>
        </w:rPr>
        <w:t xml:space="preserve">or the BMR value, whichever is less, </w:t>
      </w:r>
      <w:r w:rsidRPr="005A575A">
        <w:rPr>
          <w:rFonts w:ascii="Times New Roman" w:hAnsi="Times New Roman" w:cs="Times New Roman"/>
          <w:sz w:val="24"/>
          <w:szCs w:val="24"/>
        </w:rPr>
        <w:t>subject to the resale restriction;</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31"/>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A covenant stating that the developer or successors-in-interest shall not assign, lease, rent, sell, sublet, or otherwise transfer any interests for the designated units without the written approval of the Town or its designee;</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31"/>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That  the  Town  or  its  designee  shall  have  the  authority  to  enter  into  other agreements with the developer, or purchasers of the designated dwelling units, to ensure that the required dwelling units are continuously occupied by eligible households for the agreed to affordability period;</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31"/>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Provisions, in a form satisfactory to the Town, for the enforcement of owner or developer compliance.  Any default or failure to comply may result in foreclosure, specific performance, or withdrawal of the certificate of occupancy;</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31"/>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 xml:space="preserve">That in any action taken to enforce compliance with the deed restrictions, the Town  Attorney  shall,  if  compliance  is  ordered  by  a  court  of  competent </w:t>
      </w:r>
      <w:r w:rsidRPr="005A575A">
        <w:rPr>
          <w:rFonts w:ascii="Times New Roman" w:hAnsi="Times New Roman" w:cs="Times New Roman"/>
          <w:sz w:val="24"/>
          <w:szCs w:val="24"/>
        </w:rPr>
        <w:lastRenderedPageBreak/>
        <w:t>jurisdiction, take all action that  may be allowed by law to  recover all of the Town’s costs of action including legal services; and</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Pr="005A575A" w:rsidRDefault="00CD73A6" w:rsidP="00CD73A6">
      <w:pPr>
        <w:pStyle w:val="ListParagraph"/>
        <w:numPr>
          <w:ilvl w:val="1"/>
          <w:numId w:val="31"/>
        </w:numPr>
        <w:spacing w:after="0" w:line="240" w:lineRule="auto"/>
        <w:jc w:val="both"/>
        <w:rPr>
          <w:rFonts w:ascii="Times New Roman" w:hAnsi="Times New Roman" w:cs="Times New Roman"/>
          <w:sz w:val="24"/>
          <w:szCs w:val="24"/>
        </w:rPr>
      </w:pPr>
      <w:r w:rsidRPr="005A575A">
        <w:rPr>
          <w:rFonts w:ascii="Times New Roman" w:hAnsi="Times New Roman" w:cs="Times New Roman"/>
          <w:sz w:val="24"/>
          <w:szCs w:val="24"/>
        </w:rPr>
        <w:t>That  compliance  with  the  agreement  will  be  monitored  and  enforced  in compliance with the measures included in the agreement.</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Default="00CD73A6" w:rsidP="00CD73A6">
      <w:pPr>
        <w:pStyle w:val="ListParagraph"/>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Initial </w:t>
      </w:r>
      <w:r w:rsidRPr="005A575A">
        <w:rPr>
          <w:rFonts w:ascii="Times New Roman" w:hAnsi="Times New Roman" w:cs="Times New Roman"/>
          <w:b/>
          <w:sz w:val="24"/>
          <w:szCs w:val="24"/>
        </w:rPr>
        <w:t xml:space="preserve">and </w:t>
      </w:r>
      <w:r>
        <w:rPr>
          <w:rFonts w:ascii="Times New Roman" w:hAnsi="Times New Roman" w:cs="Times New Roman"/>
          <w:b/>
          <w:sz w:val="24"/>
          <w:szCs w:val="24"/>
        </w:rPr>
        <w:t xml:space="preserve">Continued </w:t>
      </w:r>
      <w:r w:rsidRPr="005A575A">
        <w:rPr>
          <w:rFonts w:ascii="Times New Roman" w:hAnsi="Times New Roman" w:cs="Times New Roman"/>
          <w:b/>
          <w:sz w:val="24"/>
          <w:szCs w:val="24"/>
        </w:rPr>
        <w:t>Affordability: Owner-Occupied Units.</w:t>
      </w:r>
      <w:r w:rsidRPr="005A575A">
        <w:rPr>
          <w:rFonts w:ascii="Times New Roman" w:hAnsi="Times New Roman" w:cs="Times New Roman"/>
          <w:sz w:val="24"/>
          <w:szCs w:val="24"/>
        </w:rPr>
        <w:t xml:space="preserve"> In addition  to  the minimum requirements set forth in Subsection B, the developer shall agree to the following measures to assure the initial and on-going affordability of required BMR units:</w:t>
      </w:r>
    </w:p>
    <w:p w:rsidR="00CD73A6" w:rsidRPr="0049480E" w:rsidRDefault="00CD73A6" w:rsidP="00CD73A6">
      <w:pPr>
        <w:rPr>
          <w:szCs w:val="24"/>
        </w:rPr>
      </w:pPr>
    </w:p>
    <w:p w:rsidR="00CD73A6" w:rsidRDefault="00CD73A6" w:rsidP="00CD73A6">
      <w:pPr>
        <w:pStyle w:val="ListParagraph"/>
        <w:numPr>
          <w:ilvl w:val="3"/>
          <w:numId w:val="30"/>
        </w:numPr>
        <w:spacing w:after="0" w:line="240" w:lineRule="auto"/>
        <w:ind w:left="1440"/>
        <w:jc w:val="both"/>
        <w:rPr>
          <w:rFonts w:ascii="Times New Roman" w:hAnsi="Times New Roman" w:cs="Times New Roman"/>
          <w:sz w:val="24"/>
          <w:szCs w:val="24"/>
        </w:rPr>
      </w:pPr>
      <w:r w:rsidRPr="005A575A">
        <w:rPr>
          <w:rFonts w:ascii="Times New Roman" w:hAnsi="Times New Roman" w:cs="Times New Roman"/>
          <w:b/>
          <w:sz w:val="24"/>
          <w:szCs w:val="24"/>
        </w:rPr>
        <w:t>Initial Sales Price for Below Market Rate Units.</w:t>
      </w:r>
      <w:r w:rsidRPr="00FB3AB9">
        <w:rPr>
          <w:rFonts w:ascii="Times New Roman" w:hAnsi="Times New Roman" w:cs="Times New Roman"/>
          <w:sz w:val="24"/>
          <w:szCs w:val="24"/>
        </w:rPr>
        <w:t xml:space="preserve"> The initial sales price of a for-sale BMR unit shall be set by the Town or its designee at the time a building permit is issued for the unit, so that the eligible household will pay </w:t>
      </w:r>
      <w:r>
        <w:rPr>
          <w:rFonts w:ascii="Times New Roman" w:hAnsi="Times New Roman" w:cs="Times New Roman"/>
          <w:sz w:val="24"/>
          <w:szCs w:val="24"/>
        </w:rPr>
        <w:t xml:space="preserve">an Affordable Ownership Cost. </w:t>
      </w:r>
      <w:r w:rsidRPr="00FB3AB9">
        <w:rPr>
          <w:rFonts w:ascii="Times New Roman" w:hAnsi="Times New Roman" w:cs="Times New Roman"/>
          <w:sz w:val="24"/>
          <w:szCs w:val="24"/>
        </w:rPr>
        <w:t xml:space="preserve">The initial sales price shall be based on the developer’s estimate of homeowners association dues, if  any,  the  Town’s  assumptions  for  interest  rates  and  other  factors,  and  the </w:t>
      </w:r>
      <w:r>
        <w:rPr>
          <w:rFonts w:ascii="Times New Roman" w:hAnsi="Times New Roman" w:cs="Times New Roman"/>
          <w:sz w:val="24"/>
          <w:szCs w:val="24"/>
        </w:rPr>
        <w:t xml:space="preserve">methodology or </w:t>
      </w:r>
      <w:r w:rsidRPr="00FB3AB9">
        <w:rPr>
          <w:rFonts w:ascii="Times New Roman" w:hAnsi="Times New Roman" w:cs="Times New Roman"/>
          <w:sz w:val="24"/>
          <w:szCs w:val="24"/>
        </w:rPr>
        <w:t xml:space="preserve">formula for calculating sales prices contained in the </w:t>
      </w:r>
      <w:r>
        <w:rPr>
          <w:rFonts w:ascii="Times New Roman" w:hAnsi="Times New Roman" w:cs="Times New Roman"/>
          <w:sz w:val="24"/>
          <w:szCs w:val="24"/>
        </w:rPr>
        <w:t>Council resolution</w:t>
      </w:r>
      <w:r w:rsidRPr="00FB3AB9">
        <w:rPr>
          <w:rFonts w:ascii="Times New Roman" w:hAnsi="Times New Roman" w:cs="Times New Roman"/>
          <w:sz w:val="24"/>
          <w:szCs w:val="24"/>
        </w:rPr>
        <w:t>.  The Town shall provide the developer with an estimate of the initial sales price for the BMR units at an earlier date if so requested by the developer in writing.   After the building permit is issued, the initial sales price may be adjusted by the Town due to changes in market factors upon written request by the developer no less than 90 days prior to marketing of the BMR units.</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3"/>
          <w:numId w:val="30"/>
        </w:numPr>
        <w:spacing w:after="0" w:line="240" w:lineRule="auto"/>
        <w:ind w:left="1440"/>
        <w:jc w:val="both"/>
        <w:rPr>
          <w:rFonts w:ascii="Times New Roman" w:hAnsi="Times New Roman" w:cs="Times New Roman"/>
          <w:sz w:val="24"/>
          <w:szCs w:val="24"/>
        </w:rPr>
      </w:pPr>
      <w:r w:rsidRPr="005A575A">
        <w:rPr>
          <w:rFonts w:ascii="Times New Roman" w:hAnsi="Times New Roman" w:cs="Times New Roman"/>
          <w:b/>
          <w:sz w:val="24"/>
          <w:szCs w:val="24"/>
        </w:rPr>
        <w:t>Resale Restrictions.</w:t>
      </w:r>
      <w:r w:rsidRPr="005A575A">
        <w:rPr>
          <w:rFonts w:ascii="Times New Roman" w:hAnsi="Times New Roman" w:cs="Times New Roman"/>
          <w:sz w:val="24"/>
          <w:szCs w:val="24"/>
        </w:rPr>
        <w:t xml:space="preserve"> Documents to  assure  continued  affordability  shall  be recorded against the property in accordance with the provisions of Subsections A and B, above, and the following concerning resale restrictions:</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4"/>
          <w:numId w:val="30"/>
        </w:numPr>
        <w:spacing w:after="0" w:line="240" w:lineRule="auto"/>
        <w:ind w:left="2160"/>
        <w:jc w:val="both"/>
        <w:rPr>
          <w:rFonts w:ascii="Times New Roman" w:hAnsi="Times New Roman" w:cs="Times New Roman"/>
          <w:sz w:val="24"/>
          <w:szCs w:val="24"/>
        </w:rPr>
      </w:pPr>
      <w:r w:rsidRPr="005A575A">
        <w:rPr>
          <w:rFonts w:ascii="Times New Roman" w:hAnsi="Times New Roman" w:cs="Times New Roman"/>
          <w:sz w:val="24"/>
          <w:szCs w:val="24"/>
        </w:rPr>
        <w:t>Terms and conditions concerning the resale of the units shall be specified as necessary to ensure their continuing affordability. Such requirements may include, but are not limited to:</w:t>
      </w:r>
    </w:p>
    <w:p w:rsidR="00CD73A6" w:rsidRDefault="00CD73A6" w:rsidP="00CD73A6">
      <w:pPr>
        <w:pStyle w:val="ListParagraph"/>
        <w:spacing w:after="0" w:line="240" w:lineRule="auto"/>
        <w:ind w:left="2160"/>
        <w:jc w:val="both"/>
        <w:rPr>
          <w:rFonts w:ascii="Times New Roman" w:hAnsi="Times New Roman" w:cs="Times New Roman"/>
          <w:sz w:val="24"/>
          <w:szCs w:val="24"/>
        </w:rPr>
      </w:pPr>
    </w:p>
    <w:p w:rsidR="00CD73A6" w:rsidRDefault="00CD73A6" w:rsidP="00CD73A6">
      <w:pPr>
        <w:pStyle w:val="ListParagraph"/>
        <w:numPr>
          <w:ilvl w:val="5"/>
          <w:numId w:val="30"/>
        </w:numPr>
        <w:spacing w:after="0" w:line="240" w:lineRule="auto"/>
        <w:ind w:left="2880" w:hanging="360"/>
        <w:jc w:val="both"/>
        <w:rPr>
          <w:rFonts w:ascii="Times New Roman" w:hAnsi="Times New Roman" w:cs="Times New Roman"/>
          <w:sz w:val="24"/>
          <w:szCs w:val="24"/>
        </w:rPr>
      </w:pPr>
      <w:r w:rsidRPr="005A575A">
        <w:rPr>
          <w:rFonts w:ascii="Times New Roman" w:hAnsi="Times New Roman" w:cs="Times New Roman"/>
          <w:sz w:val="24"/>
          <w:szCs w:val="24"/>
        </w:rPr>
        <w:t xml:space="preserve">Limits on resale price, based on an </w:t>
      </w:r>
      <w:r>
        <w:rPr>
          <w:rFonts w:ascii="Times New Roman" w:hAnsi="Times New Roman" w:cs="Times New Roman"/>
          <w:sz w:val="24"/>
          <w:szCs w:val="24"/>
        </w:rPr>
        <w:t>appropriate calculation method.</w:t>
      </w:r>
    </w:p>
    <w:p w:rsidR="00CD73A6" w:rsidRDefault="00CD73A6" w:rsidP="00CD73A6">
      <w:pPr>
        <w:pStyle w:val="ListParagraph"/>
        <w:spacing w:after="0" w:line="240" w:lineRule="auto"/>
        <w:ind w:left="2880"/>
        <w:jc w:val="both"/>
        <w:rPr>
          <w:rFonts w:ascii="Times New Roman" w:hAnsi="Times New Roman" w:cs="Times New Roman"/>
          <w:sz w:val="24"/>
          <w:szCs w:val="24"/>
        </w:rPr>
      </w:pPr>
    </w:p>
    <w:p w:rsidR="00CD73A6" w:rsidRDefault="00CD73A6" w:rsidP="00CD73A6">
      <w:pPr>
        <w:pStyle w:val="ListParagraph"/>
        <w:numPr>
          <w:ilvl w:val="5"/>
          <w:numId w:val="30"/>
        </w:numPr>
        <w:spacing w:after="0" w:line="240" w:lineRule="auto"/>
        <w:ind w:left="2880" w:hanging="360"/>
        <w:jc w:val="both"/>
        <w:rPr>
          <w:rFonts w:ascii="Times New Roman" w:hAnsi="Times New Roman" w:cs="Times New Roman"/>
          <w:sz w:val="24"/>
          <w:szCs w:val="24"/>
        </w:rPr>
      </w:pPr>
      <w:r w:rsidRPr="005A575A">
        <w:rPr>
          <w:rFonts w:ascii="Times New Roman" w:hAnsi="Times New Roman" w:cs="Times New Roman"/>
          <w:sz w:val="24"/>
          <w:szCs w:val="24"/>
        </w:rPr>
        <w:t>Provisions offering units for resale to the Town or its designee,</w:t>
      </w:r>
      <w:r>
        <w:rPr>
          <w:rFonts w:ascii="Times New Roman" w:hAnsi="Times New Roman" w:cs="Times New Roman"/>
          <w:sz w:val="24"/>
          <w:szCs w:val="24"/>
        </w:rPr>
        <w:t xml:space="preserve"> </w:t>
      </w:r>
      <w:r w:rsidRPr="005A575A">
        <w:rPr>
          <w:rFonts w:ascii="Times New Roman" w:hAnsi="Times New Roman" w:cs="Times New Roman"/>
          <w:sz w:val="24"/>
          <w:szCs w:val="24"/>
        </w:rPr>
        <w:t xml:space="preserve">and/or which limit resale to households determined to be eligible for </w:t>
      </w:r>
      <w:r>
        <w:rPr>
          <w:rFonts w:ascii="Times New Roman" w:hAnsi="Times New Roman" w:cs="Times New Roman"/>
          <w:sz w:val="24"/>
          <w:szCs w:val="24"/>
        </w:rPr>
        <w:t>workforce</w:t>
      </w:r>
      <w:r w:rsidRPr="005A575A">
        <w:rPr>
          <w:rFonts w:ascii="Times New Roman" w:hAnsi="Times New Roman" w:cs="Times New Roman"/>
          <w:sz w:val="24"/>
          <w:szCs w:val="24"/>
        </w:rPr>
        <w:t xml:space="preserve"> units by the Town in compliance with this Section.</w:t>
      </w:r>
    </w:p>
    <w:p w:rsidR="00CD73A6" w:rsidRDefault="00CD73A6" w:rsidP="00CD73A6">
      <w:pPr>
        <w:pStyle w:val="ListParagraph"/>
        <w:spacing w:after="0" w:line="240" w:lineRule="auto"/>
        <w:ind w:left="2880"/>
        <w:jc w:val="both"/>
        <w:rPr>
          <w:rFonts w:ascii="Times New Roman" w:hAnsi="Times New Roman" w:cs="Times New Roman"/>
          <w:sz w:val="24"/>
          <w:szCs w:val="24"/>
        </w:rPr>
      </w:pPr>
    </w:p>
    <w:p w:rsidR="00CD73A6" w:rsidRDefault="00CD73A6" w:rsidP="00CD73A6">
      <w:pPr>
        <w:pStyle w:val="ListParagraph"/>
        <w:numPr>
          <w:ilvl w:val="5"/>
          <w:numId w:val="30"/>
        </w:numPr>
        <w:spacing w:after="0" w:line="240" w:lineRule="auto"/>
        <w:ind w:left="2880" w:hanging="360"/>
        <w:jc w:val="both"/>
        <w:rPr>
          <w:rFonts w:ascii="Times New Roman" w:hAnsi="Times New Roman" w:cs="Times New Roman"/>
          <w:sz w:val="24"/>
          <w:szCs w:val="24"/>
        </w:rPr>
      </w:pPr>
      <w:r w:rsidRPr="005A575A">
        <w:rPr>
          <w:rFonts w:ascii="Times New Roman" w:hAnsi="Times New Roman" w:cs="Times New Roman"/>
          <w:sz w:val="24"/>
          <w:szCs w:val="24"/>
        </w:rPr>
        <w:t>Monitoring  requirements  for  resale  of units,  including  required notice  of  intent  to  sell  in  a  timely  manner  before  the  unit  is intended to be marketed.</w:t>
      </w:r>
    </w:p>
    <w:p w:rsidR="00CD73A6" w:rsidRDefault="00CD73A6" w:rsidP="00CD73A6">
      <w:pPr>
        <w:pStyle w:val="ListParagraph"/>
        <w:spacing w:after="0" w:line="240" w:lineRule="auto"/>
        <w:ind w:left="2880"/>
        <w:jc w:val="both"/>
        <w:rPr>
          <w:rFonts w:ascii="Times New Roman" w:hAnsi="Times New Roman" w:cs="Times New Roman"/>
          <w:sz w:val="24"/>
          <w:szCs w:val="24"/>
        </w:rPr>
      </w:pPr>
    </w:p>
    <w:p w:rsidR="00CD73A6" w:rsidRPr="005A575A" w:rsidRDefault="00CD73A6" w:rsidP="00CD73A6">
      <w:pPr>
        <w:pStyle w:val="ListParagraph"/>
        <w:numPr>
          <w:ilvl w:val="4"/>
          <w:numId w:val="30"/>
        </w:numPr>
        <w:spacing w:after="0" w:line="240" w:lineRule="auto"/>
        <w:ind w:left="2160"/>
        <w:jc w:val="both"/>
        <w:rPr>
          <w:rFonts w:ascii="Times New Roman" w:hAnsi="Times New Roman" w:cs="Times New Roman"/>
          <w:sz w:val="24"/>
          <w:szCs w:val="24"/>
        </w:rPr>
      </w:pPr>
      <w:r w:rsidRPr="005A575A">
        <w:rPr>
          <w:rFonts w:ascii="Times New Roman" w:hAnsi="Times New Roman" w:cs="Times New Roman"/>
          <w:sz w:val="24"/>
          <w:szCs w:val="24"/>
        </w:rPr>
        <w:t xml:space="preserve">The Town reserves the right to modify or waive recorded resale restrictions at the time of resale, as warranted, based on residential real estate market conditions or economic hardship on the part of the BMR </w:t>
      </w:r>
      <w:r w:rsidRPr="005A575A">
        <w:rPr>
          <w:rFonts w:ascii="Times New Roman" w:hAnsi="Times New Roman" w:cs="Times New Roman"/>
          <w:sz w:val="24"/>
          <w:szCs w:val="24"/>
        </w:rPr>
        <w:lastRenderedPageBreak/>
        <w:t>homeowner. A BMR homeowner may request a modification or waiver of resale restrictions by completing a modification/waiver request form provided by the Town.</w:t>
      </w:r>
    </w:p>
    <w:p w:rsidR="00CD73A6" w:rsidRDefault="00CD73A6" w:rsidP="00CD73A6">
      <w:pPr>
        <w:pStyle w:val="ListParagraph"/>
        <w:spacing w:after="0" w:line="240" w:lineRule="auto"/>
        <w:jc w:val="both"/>
        <w:rPr>
          <w:rFonts w:ascii="Times New Roman" w:hAnsi="Times New Roman" w:cs="Times New Roman"/>
          <w:sz w:val="24"/>
          <w:szCs w:val="24"/>
        </w:rPr>
      </w:pPr>
    </w:p>
    <w:p w:rsidR="00CD73A6" w:rsidRPr="005A575A" w:rsidRDefault="00CD73A6" w:rsidP="00CD73A6">
      <w:pPr>
        <w:pStyle w:val="ListParagraph"/>
        <w:numPr>
          <w:ilvl w:val="0"/>
          <w:numId w:val="31"/>
        </w:numPr>
        <w:spacing w:after="0" w:line="240" w:lineRule="auto"/>
        <w:jc w:val="both"/>
        <w:rPr>
          <w:rFonts w:ascii="Times New Roman" w:hAnsi="Times New Roman" w:cs="Times New Roman"/>
          <w:sz w:val="24"/>
          <w:szCs w:val="24"/>
        </w:rPr>
      </w:pPr>
      <w:r w:rsidRPr="005A575A">
        <w:rPr>
          <w:rFonts w:ascii="Times New Roman" w:hAnsi="Times New Roman" w:cs="Times New Roman"/>
          <w:b/>
          <w:sz w:val="24"/>
          <w:szCs w:val="24"/>
        </w:rPr>
        <w:t>Initial and Continued Affordability: Rental Units</w:t>
      </w:r>
    </w:p>
    <w:p w:rsidR="00CD73A6" w:rsidRPr="0049480E" w:rsidRDefault="00CD73A6" w:rsidP="00CD73A6">
      <w:pPr>
        <w:rPr>
          <w:szCs w:val="24"/>
        </w:rPr>
      </w:pPr>
    </w:p>
    <w:p w:rsidR="00CD73A6" w:rsidRPr="00FB3AB9" w:rsidRDefault="00CD73A6" w:rsidP="00CD73A6">
      <w:pPr>
        <w:pStyle w:val="ListParagraph"/>
        <w:numPr>
          <w:ilvl w:val="0"/>
          <w:numId w:val="33"/>
        </w:numPr>
        <w:spacing w:after="0" w:line="240" w:lineRule="auto"/>
        <w:jc w:val="both"/>
        <w:rPr>
          <w:rFonts w:ascii="Times New Roman" w:hAnsi="Times New Roman" w:cs="Times New Roman"/>
          <w:sz w:val="24"/>
          <w:szCs w:val="24"/>
        </w:rPr>
      </w:pPr>
      <w:r w:rsidRPr="005A575A">
        <w:rPr>
          <w:rFonts w:ascii="Times New Roman" w:hAnsi="Times New Roman" w:cs="Times New Roman"/>
          <w:b/>
          <w:sz w:val="24"/>
          <w:szCs w:val="24"/>
        </w:rPr>
        <w:t>Initial Rents for Below Market Rate Units</w:t>
      </w:r>
      <w:r w:rsidRPr="00FB3AB9">
        <w:rPr>
          <w:rFonts w:ascii="Times New Roman" w:hAnsi="Times New Roman" w:cs="Times New Roman"/>
          <w:sz w:val="24"/>
          <w:szCs w:val="24"/>
        </w:rPr>
        <w:t xml:space="preserve">. The initial rent of BMR units shall be set by the Town or its designee at least 30 days prior to the marketing of the BMR unit, so that the eligible households will pay an </w:t>
      </w:r>
      <w:r>
        <w:rPr>
          <w:rFonts w:ascii="Times New Roman" w:hAnsi="Times New Roman" w:cs="Times New Roman"/>
          <w:sz w:val="24"/>
          <w:szCs w:val="24"/>
        </w:rPr>
        <w:t>A</w:t>
      </w:r>
      <w:r w:rsidRPr="00FB3AB9">
        <w:rPr>
          <w:rFonts w:ascii="Times New Roman" w:hAnsi="Times New Roman" w:cs="Times New Roman"/>
          <w:sz w:val="24"/>
          <w:szCs w:val="24"/>
        </w:rPr>
        <w:t xml:space="preserve">ffordable </w:t>
      </w:r>
      <w:r>
        <w:rPr>
          <w:rFonts w:ascii="Times New Roman" w:hAnsi="Times New Roman" w:cs="Times New Roman"/>
          <w:sz w:val="24"/>
          <w:szCs w:val="24"/>
        </w:rPr>
        <w:t>R</w:t>
      </w:r>
      <w:r w:rsidRPr="00FB3AB9">
        <w:rPr>
          <w:rFonts w:ascii="Times New Roman" w:hAnsi="Times New Roman" w:cs="Times New Roman"/>
          <w:sz w:val="24"/>
          <w:szCs w:val="24"/>
        </w:rPr>
        <w:t xml:space="preserve">ent in accordance with the established affordability level.  The initial rent shall be based on the Town’s assumptions for utility costs and the </w:t>
      </w:r>
      <w:r>
        <w:rPr>
          <w:rFonts w:ascii="Times New Roman" w:hAnsi="Times New Roman" w:cs="Times New Roman"/>
          <w:sz w:val="24"/>
          <w:szCs w:val="24"/>
        </w:rPr>
        <w:t xml:space="preserve">methodology or </w:t>
      </w:r>
      <w:r w:rsidRPr="00FB3AB9">
        <w:rPr>
          <w:rFonts w:ascii="Times New Roman" w:hAnsi="Times New Roman" w:cs="Times New Roman"/>
          <w:sz w:val="24"/>
          <w:szCs w:val="24"/>
        </w:rPr>
        <w:t xml:space="preserve">formula for calculating rents contained in the </w:t>
      </w:r>
      <w:r>
        <w:rPr>
          <w:rFonts w:ascii="Times New Roman" w:hAnsi="Times New Roman" w:cs="Times New Roman"/>
          <w:sz w:val="24"/>
          <w:szCs w:val="24"/>
        </w:rPr>
        <w:t>Council resolution.</w:t>
      </w:r>
      <w:r w:rsidRPr="00FB3AB9">
        <w:rPr>
          <w:rFonts w:ascii="Times New Roman" w:hAnsi="Times New Roman" w:cs="Times New Roman"/>
          <w:sz w:val="24"/>
          <w:szCs w:val="24"/>
        </w:rPr>
        <w:t xml:space="preserve">  The Town shall provide the developer with an estimate of the initial rent for the BMR units at an earlier date upon written request.</w:t>
      </w:r>
    </w:p>
    <w:p w:rsidR="00CD73A6" w:rsidRPr="0049480E" w:rsidRDefault="00CD73A6" w:rsidP="00CD73A6">
      <w:pPr>
        <w:rPr>
          <w:szCs w:val="24"/>
        </w:rPr>
      </w:pPr>
    </w:p>
    <w:p w:rsidR="00CD73A6" w:rsidRDefault="00CD73A6" w:rsidP="00CD73A6">
      <w:pPr>
        <w:pStyle w:val="ListParagraph"/>
        <w:numPr>
          <w:ilvl w:val="0"/>
          <w:numId w:val="33"/>
        </w:numPr>
        <w:spacing w:after="0" w:line="240" w:lineRule="auto"/>
        <w:jc w:val="both"/>
        <w:rPr>
          <w:rFonts w:ascii="Times New Roman" w:hAnsi="Times New Roman" w:cs="Times New Roman"/>
          <w:sz w:val="24"/>
          <w:szCs w:val="24"/>
        </w:rPr>
      </w:pPr>
      <w:r w:rsidRPr="005A575A">
        <w:rPr>
          <w:rFonts w:ascii="Times New Roman" w:hAnsi="Times New Roman" w:cs="Times New Roman"/>
          <w:b/>
          <w:sz w:val="24"/>
          <w:szCs w:val="24"/>
        </w:rPr>
        <w:t>Rent Regulatory Agreement.</w:t>
      </w:r>
      <w:r>
        <w:rPr>
          <w:rFonts w:ascii="Times New Roman" w:hAnsi="Times New Roman" w:cs="Times New Roman"/>
          <w:sz w:val="24"/>
          <w:szCs w:val="24"/>
        </w:rPr>
        <w:t xml:space="preserve">  </w:t>
      </w:r>
      <w:r w:rsidRPr="00FB3AB9">
        <w:rPr>
          <w:rFonts w:ascii="Times New Roman" w:hAnsi="Times New Roman" w:cs="Times New Roman"/>
          <w:sz w:val="24"/>
          <w:szCs w:val="24"/>
        </w:rPr>
        <w:t>A rent regulatory agreement acceptable to the Town shall be recorded against the residential development prior to issuance of certificate of occupancy.  Such an agreement shall reflect the limitations on rents required by this Chapter, the provisions of Subsection A, above, and the minimum requirements outlined below:</w:t>
      </w:r>
    </w:p>
    <w:p w:rsidR="00CD73A6" w:rsidRDefault="00CD73A6" w:rsidP="00CD73A6">
      <w:pPr>
        <w:pStyle w:val="ListParagraph"/>
        <w:spacing w:after="0" w:line="240" w:lineRule="auto"/>
        <w:ind w:left="1440"/>
        <w:jc w:val="both"/>
        <w:rPr>
          <w:rFonts w:ascii="Times New Roman" w:hAnsi="Times New Roman" w:cs="Times New Roman"/>
          <w:sz w:val="24"/>
          <w:szCs w:val="24"/>
        </w:rPr>
      </w:pPr>
    </w:p>
    <w:p w:rsidR="00CD73A6" w:rsidRDefault="00CD73A6" w:rsidP="00CD73A6">
      <w:pPr>
        <w:pStyle w:val="ListParagraph"/>
        <w:numPr>
          <w:ilvl w:val="1"/>
          <w:numId w:val="33"/>
        </w:numPr>
        <w:spacing w:after="0" w:line="240" w:lineRule="auto"/>
        <w:jc w:val="both"/>
        <w:rPr>
          <w:rFonts w:ascii="Times New Roman" w:hAnsi="Times New Roman" w:cs="Times New Roman"/>
          <w:sz w:val="24"/>
          <w:szCs w:val="24"/>
        </w:rPr>
      </w:pPr>
      <w:r w:rsidRPr="009F7764">
        <w:rPr>
          <w:rFonts w:ascii="Times New Roman" w:hAnsi="Times New Roman" w:cs="Times New Roman"/>
          <w:b/>
          <w:sz w:val="24"/>
          <w:szCs w:val="24"/>
        </w:rPr>
        <w:t>Nondiscrimination.</w:t>
      </w:r>
      <w:r>
        <w:rPr>
          <w:rFonts w:ascii="Times New Roman" w:hAnsi="Times New Roman" w:cs="Times New Roman"/>
          <w:sz w:val="24"/>
          <w:szCs w:val="24"/>
        </w:rPr>
        <w:t xml:space="preserve">  </w:t>
      </w:r>
      <w:r w:rsidRPr="004800EE">
        <w:rPr>
          <w:rFonts w:ascii="Times New Roman" w:hAnsi="Times New Roman" w:cs="Times New Roman"/>
          <w:sz w:val="24"/>
          <w:szCs w:val="24"/>
        </w:rPr>
        <w:t>When selecting tenants, the owners of BMR units shall follow all fair-housing laws, rules, regulations and guidelines.  The</w:t>
      </w:r>
      <w:r>
        <w:rPr>
          <w:rFonts w:ascii="Times New Roman" w:hAnsi="Times New Roman" w:cs="Times New Roman"/>
          <w:sz w:val="24"/>
          <w:szCs w:val="24"/>
        </w:rPr>
        <w:t xml:space="preserve"> </w:t>
      </w:r>
      <w:r w:rsidRPr="004800EE">
        <w:rPr>
          <w:rFonts w:ascii="Times New Roman" w:hAnsi="Times New Roman" w:cs="Times New Roman"/>
          <w:sz w:val="24"/>
          <w:szCs w:val="24"/>
        </w:rPr>
        <w:t>owner shall apply the same rental terms and conditions to tenants of BMR units as are applied to all other tenants, except as required to comply with this chapter (for example, rent levels and income requirements) or with other applicable government subsidy programs.</w:t>
      </w:r>
    </w:p>
    <w:p w:rsidR="00CD73A6" w:rsidRDefault="00CD73A6" w:rsidP="00CD73A6">
      <w:pPr>
        <w:pStyle w:val="ListParagraph"/>
        <w:spacing w:after="0" w:line="240" w:lineRule="auto"/>
        <w:ind w:left="2160"/>
        <w:jc w:val="both"/>
        <w:rPr>
          <w:rFonts w:ascii="Times New Roman" w:hAnsi="Times New Roman" w:cs="Times New Roman"/>
          <w:sz w:val="24"/>
          <w:szCs w:val="24"/>
        </w:rPr>
      </w:pPr>
    </w:p>
    <w:p w:rsidR="00CD73A6" w:rsidRDefault="00CD73A6" w:rsidP="00CD73A6">
      <w:pPr>
        <w:pStyle w:val="ListParagraph"/>
        <w:numPr>
          <w:ilvl w:val="1"/>
          <w:numId w:val="33"/>
        </w:numPr>
        <w:spacing w:after="0" w:line="240" w:lineRule="auto"/>
        <w:jc w:val="both"/>
        <w:rPr>
          <w:rFonts w:ascii="Times New Roman" w:hAnsi="Times New Roman" w:cs="Times New Roman"/>
          <w:sz w:val="24"/>
          <w:szCs w:val="24"/>
        </w:rPr>
      </w:pPr>
      <w:r w:rsidRPr="009F7764">
        <w:rPr>
          <w:rFonts w:ascii="Times New Roman" w:hAnsi="Times New Roman" w:cs="Times New Roman"/>
          <w:b/>
          <w:sz w:val="24"/>
          <w:szCs w:val="24"/>
        </w:rPr>
        <w:t>Move-in Costs.</w:t>
      </w:r>
      <w:r>
        <w:rPr>
          <w:rFonts w:ascii="Times New Roman" w:hAnsi="Times New Roman" w:cs="Times New Roman"/>
          <w:sz w:val="24"/>
          <w:szCs w:val="24"/>
        </w:rPr>
        <w:t xml:space="preserve"> </w:t>
      </w:r>
      <w:r w:rsidRPr="004800EE">
        <w:rPr>
          <w:rFonts w:ascii="Times New Roman" w:hAnsi="Times New Roman" w:cs="Times New Roman"/>
          <w:sz w:val="24"/>
          <w:szCs w:val="24"/>
        </w:rPr>
        <w:t xml:space="preserve">Total deposits, including security deposits, required of households occupying a BMR unit shall be limited </w:t>
      </w:r>
      <w:r>
        <w:rPr>
          <w:rFonts w:ascii="Times New Roman" w:hAnsi="Times New Roman" w:cs="Times New Roman"/>
          <w:sz w:val="24"/>
          <w:szCs w:val="24"/>
        </w:rPr>
        <w:t>as mandated by state law applicable at the time of leasing or renting</w:t>
      </w:r>
      <w:r w:rsidRPr="004800EE">
        <w:rPr>
          <w:rFonts w:ascii="Times New Roman" w:hAnsi="Times New Roman" w:cs="Times New Roman"/>
          <w:sz w:val="24"/>
          <w:szCs w:val="24"/>
        </w:rPr>
        <w:t>.</w:t>
      </w:r>
    </w:p>
    <w:p w:rsidR="00CD73A6" w:rsidRDefault="00CD73A6" w:rsidP="00CD73A6">
      <w:pPr>
        <w:pStyle w:val="ListParagraph"/>
        <w:spacing w:after="0" w:line="240" w:lineRule="auto"/>
        <w:ind w:left="2160"/>
        <w:jc w:val="both"/>
        <w:rPr>
          <w:rFonts w:ascii="Times New Roman" w:hAnsi="Times New Roman" w:cs="Times New Roman"/>
          <w:sz w:val="24"/>
          <w:szCs w:val="24"/>
        </w:rPr>
      </w:pPr>
    </w:p>
    <w:p w:rsidR="00CD73A6" w:rsidRDefault="00CD73A6" w:rsidP="00CD73A6">
      <w:pPr>
        <w:pStyle w:val="ListParagraph"/>
        <w:numPr>
          <w:ilvl w:val="1"/>
          <w:numId w:val="33"/>
        </w:numPr>
        <w:spacing w:after="0" w:line="240" w:lineRule="auto"/>
        <w:jc w:val="both"/>
        <w:rPr>
          <w:rFonts w:ascii="Times New Roman" w:hAnsi="Times New Roman" w:cs="Times New Roman"/>
          <w:sz w:val="24"/>
          <w:szCs w:val="24"/>
        </w:rPr>
      </w:pPr>
      <w:r w:rsidRPr="009F7764">
        <w:rPr>
          <w:rFonts w:ascii="Times New Roman" w:hAnsi="Times New Roman" w:cs="Times New Roman"/>
          <w:b/>
          <w:sz w:val="24"/>
          <w:szCs w:val="24"/>
        </w:rPr>
        <w:t>Reporting Requirements.</w:t>
      </w:r>
      <w:r w:rsidRPr="004800EE">
        <w:rPr>
          <w:rFonts w:ascii="Times New Roman" w:hAnsi="Times New Roman" w:cs="Times New Roman"/>
          <w:sz w:val="24"/>
          <w:szCs w:val="24"/>
        </w:rPr>
        <w:t xml:space="preserve">  </w:t>
      </w:r>
    </w:p>
    <w:p w:rsidR="00CD73A6" w:rsidRDefault="00CD73A6" w:rsidP="00CD73A6">
      <w:pPr>
        <w:pStyle w:val="ListParagraph"/>
        <w:spacing w:after="0" w:line="240" w:lineRule="auto"/>
        <w:ind w:left="2160"/>
        <w:jc w:val="both"/>
        <w:rPr>
          <w:rFonts w:ascii="Times New Roman" w:hAnsi="Times New Roman" w:cs="Times New Roman"/>
          <w:sz w:val="24"/>
          <w:szCs w:val="24"/>
        </w:rPr>
      </w:pPr>
    </w:p>
    <w:p w:rsidR="00CD73A6" w:rsidRDefault="00CD73A6" w:rsidP="00CD73A6">
      <w:pPr>
        <w:pStyle w:val="ListParagraph"/>
        <w:numPr>
          <w:ilvl w:val="2"/>
          <w:numId w:val="33"/>
        </w:numPr>
        <w:spacing w:after="0" w:line="240" w:lineRule="auto"/>
        <w:jc w:val="both"/>
        <w:rPr>
          <w:rFonts w:ascii="Times New Roman" w:hAnsi="Times New Roman" w:cs="Times New Roman"/>
          <w:sz w:val="24"/>
          <w:szCs w:val="24"/>
        </w:rPr>
      </w:pPr>
      <w:r w:rsidRPr="004800EE">
        <w:rPr>
          <w:rFonts w:ascii="Times New Roman" w:hAnsi="Times New Roman" w:cs="Times New Roman"/>
          <w:sz w:val="24"/>
          <w:szCs w:val="24"/>
        </w:rPr>
        <w:t xml:space="preserve">The owner (or their designated agent) shall be required to submit an annual report summarizing the occupancy of each BMR unit for the year, demonstrating the continuing eligibility of each tenant, and the rent charged for each </w:t>
      </w:r>
      <w:r>
        <w:rPr>
          <w:rFonts w:ascii="Times New Roman" w:hAnsi="Times New Roman" w:cs="Times New Roman"/>
          <w:sz w:val="24"/>
          <w:szCs w:val="24"/>
        </w:rPr>
        <w:t>BMR</w:t>
      </w:r>
      <w:r w:rsidRPr="004800EE">
        <w:rPr>
          <w:rFonts w:ascii="Times New Roman" w:hAnsi="Times New Roman" w:cs="Times New Roman"/>
          <w:sz w:val="24"/>
          <w:szCs w:val="24"/>
        </w:rPr>
        <w:t xml:space="preserve"> unit</w:t>
      </w:r>
      <w:r>
        <w:rPr>
          <w:rFonts w:ascii="Times New Roman" w:hAnsi="Times New Roman" w:cs="Times New Roman"/>
          <w:sz w:val="24"/>
          <w:szCs w:val="24"/>
        </w:rPr>
        <w:t xml:space="preserve">. </w:t>
      </w:r>
      <w:r w:rsidRPr="004800EE">
        <w:rPr>
          <w:rFonts w:ascii="Times New Roman" w:hAnsi="Times New Roman" w:cs="Times New Roman"/>
          <w:sz w:val="24"/>
          <w:szCs w:val="24"/>
        </w:rPr>
        <w:t xml:space="preserve">The Town </w:t>
      </w:r>
      <w:r>
        <w:rPr>
          <w:rFonts w:ascii="Times New Roman" w:hAnsi="Times New Roman" w:cs="Times New Roman"/>
          <w:sz w:val="24"/>
          <w:szCs w:val="24"/>
        </w:rPr>
        <w:t xml:space="preserve">or its designee </w:t>
      </w:r>
      <w:r w:rsidRPr="004800EE">
        <w:rPr>
          <w:rFonts w:ascii="Times New Roman" w:hAnsi="Times New Roman" w:cs="Times New Roman"/>
          <w:sz w:val="24"/>
          <w:szCs w:val="24"/>
        </w:rPr>
        <w:t>may require additional information to confirm household income and rents charged for the unit if it determines necessary.</w:t>
      </w:r>
    </w:p>
    <w:p w:rsidR="00CD73A6" w:rsidRDefault="00CD73A6" w:rsidP="00CD73A6">
      <w:pPr>
        <w:pStyle w:val="ListParagraph"/>
        <w:spacing w:after="0" w:line="240" w:lineRule="auto"/>
        <w:ind w:left="2880"/>
        <w:jc w:val="both"/>
        <w:rPr>
          <w:rFonts w:ascii="Times New Roman" w:hAnsi="Times New Roman" w:cs="Times New Roman"/>
          <w:sz w:val="24"/>
          <w:szCs w:val="24"/>
        </w:rPr>
      </w:pPr>
    </w:p>
    <w:p w:rsidR="00CD73A6" w:rsidRDefault="00CD73A6" w:rsidP="00CD73A6">
      <w:pPr>
        <w:pStyle w:val="ListParagraph"/>
        <w:numPr>
          <w:ilvl w:val="2"/>
          <w:numId w:val="33"/>
        </w:numPr>
        <w:spacing w:after="0" w:line="240" w:lineRule="auto"/>
        <w:jc w:val="both"/>
        <w:rPr>
          <w:rFonts w:ascii="Times New Roman" w:hAnsi="Times New Roman" w:cs="Times New Roman"/>
          <w:sz w:val="24"/>
          <w:szCs w:val="24"/>
        </w:rPr>
      </w:pPr>
      <w:r w:rsidRPr="009F7764">
        <w:rPr>
          <w:rFonts w:ascii="Times New Roman" w:hAnsi="Times New Roman" w:cs="Times New Roman"/>
          <w:sz w:val="24"/>
          <w:szCs w:val="24"/>
        </w:rPr>
        <w:t xml:space="preserve">The Town </w:t>
      </w:r>
      <w:r>
        <w:rPr>
          <w:rFonts w:ascii="Times New Roman" w:hAnsi="Times New Roman" w:cs="Times New Roman"/>
          <w:sz w:val="24"/>
          <w:szCs w:val="24"/>
        </w:rPr>
        <w:t xml:space="preserve">or its designee </w:t>
      </w:r>
      <w:r w:rsidRPr="009F7764">
        <w:rPr>
          <w:rFonts w:ascii="Times New Roman" w:hAnsi="Times New Roman" w:cs="Times New Roman"/>
          <w:sz w:val="24"/>
          <w:szCs w:val="24"/>
        </w:rPr>
        <w:t>shall maintain the right to periodically audit the information supplied to the Town for the annual report if deemed necessary to ensure compliance with this Chapter.</w:t>
      </w:r>
    </w:p>
    <w:p w:rsidR="00CD73A6" w:rsidRDefault="00CD73A6" w:rsidP="00CD73A6">
      <w:pPr>
        <w:pStyle w:val="ListParagraph"/>
        <w:spacing w:after="0" w:line="240" w:lineRule="auto"/>
        <w:ind w:left="2160"/>
        <w:jc w:val="both"/>
        <w:rPr>
          <w:rFonts w:ascii="Times New Roman" w:hAnsi="Times New Roman" w:cs="Times New Roman"/>
          <w:sz w:val="24"/>
          <w:szCs w:val="24"/>
        </w:rPr>
      </w:pPr>
    </w:p>
    <w:p w:rsidR="00CD73A6" w:rsidRDefault="00CD73A6" w:rsidP="00CD73A6">
      <w:pPr>
        <w:pStyle w:val="ListParagraph"/>
        <w:numPr>
          <w:ilvl w:val="1"/>
          <w:numId w:val="33"/>
        </w:numPr>
        <w:spacing w:after="0" w:line="240" w:lineRule="auto"/>
        <w:jc w:val="both"/>
        <w:rPr>
          <w:rFonts w:ascii="Times New Roman" w:hAnsi="Times New Roman" w:cs="Times New Roman"/>
          <w:sz w:val="24"/>
          <w:szCs w:val="24"/>
        </w:rPr>
      </w:pPr>
      <w:r w:rsidRPr="004800EE">
        <w:rPr>
          <w:rFonts w:ascii="Times New Roman" w:hAnsi="Times New Roman" w:cs="Times New Roman"/>
          <w:sz w:val="24"/>
          <w:szCs w:val="24"/>
        </w:rPr>
        <w:lastRenderedPageBreak/>
        <w:t>The owners of any BMR unit shall agree to cooperate with any audit or reporting requirements conducted by the Town</w:t>
      </w:r>
      <w:r>
        <w:rPr>
          <w:rFonts w:ascii="Times New Roman" w:hAnsi="Times New Roman" w:cs="Times New Roman"/>
          <w:sz w:val="24"/>
          <w:szCs w:val="24"/>
        </w:rPr>
        <w:t xml:space="preserve"> or its designee</w:t>
      </w:r>
      <w:r w:rsidRPr="004800EE">
        <w:rPr>
          <w:rFonts w:ascii="Times New Roman" w:hAnsi="Times New Roman" w:cs="Times New Roman"/>
          <w:sz w:val="24"/>
          <w:szCs w:val="24"/>
        </w:rPr>
        <w:t>, State agencies, federal agencies, or their designees.</w:t>
      </w:r>
    </w:p>
    <w:p w:rsidR="00CD73A6" w:rsidRDefault="00CD73A6" w:rsidP="00CD73A6">
      <w:pPr>
        <w:pStyle w:val="ListParagraph"/>
        <w:spacing w:after="0" w:line="240" w:lineRule="auto"/>
        <w:ind w:left="2160"/>
        <w:jc w:val="both"/>
        <w:rPr>
          <w:rFonts w:ascii="Times New Roman" w:hAnsi="Times New Roman" w:cs="Times New Roman"/>
          <w:sz w:val="24"/>
          <w:szCs w:val="24"/>
        </w:rPr>
      </w:pPr>
    </w:p>
    <w:p w:rsidR="00CD73A6" w:rsidRPr="004800EE" w:rsidRDefault="00CD73A6" w:rsidP="00CD73A6">
      <w:pPr>
        <w:pStyle w:val="ListParagraph"/>
        <w:numPr>
          <w:ilvl w:val="1"/>
          <w:numId w:val="33"/>
        </w:numPr>
        <w:spacing w:after="0" w:line="240" w:lineRule="auto"/>
        <w:jc w:val="both"/>
        <w:rPr>
          <w:rFonts w:ascii="Times New Roman" w:hAnsi="Times New Roman" w:cs="Times New Roman"/>
          <w:sz w:val="24"/>
          <w:szCs w:val="24"/>
        </w:rPr>
      </w:pPr>
      <w:r w:rsidRPr="004800EE">
        <w:rPr>
          <w:rFonts w:ascii="Times New Roman" w:hAnsi="Times New Roman" w:cs="Times New Roman"/>
          <w:sz w:val="24"/>
          <w:szCs w:val="24"/>
        </w:rPr>
        <w:t>Provisions concerning changes in tenant income, where, after moving into a unit a tenant’s household income would exceed the specified limit for that unit.</w:t>
      </w:r>
      <w:r>
        <w:rPr>
          <w:rFonts w:ascii="Times New Roman" w:hAnsi="Times New Roman" w:cs="Times New Roman"/>
          <w:sz w:val="24"/>
          <w:szCs w:val="24"/>
        </w:rPr>
        <w:t xml:space="preserve"> It is anticipated that these provisions would comply with the United States Department of Housing and Urban Development’s requirements for annual income recertification.</w:t>
      </w:r>
    </w:p>
    <w:p w:rsidR="008256E5" w:rsidRDefault="008256E5" w:rsidP="00991C05">
      <w:pPr>
        <w:pStyle w:val="FlushLeft"/>
        <w:jc w:val="center"/>
      </w:pPr>
      <w:r>
        <w:br w:type="page"/>
      </w:r>
    </w:p>
    <w:p w:rsidR="00991C05" w:rsidRDefault="00991C05" w:rsidP="00991C05">
      <w:pPr>
        <w:pStyle w:val="FlushLeft"/>
        <w:jc w:val="center"/>
      </w:pPr>
      <w:r>
        <w:lastRenderedPageBreak/>
        <w:t>Exhibit “B”</w:t>
      </w:r>
    </w:p>
    <w:p w:rsidR="00991C05" w:rsidRDefault="00991C05" w:rsidP="00991C05">
      <w:pPr>
        <w:pStyle w:val="FlushLeft"/>
        <w:jc w:val="center"/>
      </w:pPr>
      <w:r>
        <w:t>Municipal Code Chapter 17.148</w:t>
      </w:r>
    </w:p>
    <w:p w:rsidR="00991C05" w:rsidRDefault="00991C05" w:rsidP="00991C05">
      <w:pPr>
        <w:pStyle w:val="FlushLeft"/>
        <w:jc w:val="center"/>
      </w:pPr>
      <w:r>
        <w:t>Definitions</w:t>
      </w:r>
    </w:p>
    <w:p w:rsidR="009B2894" w:rsidRDefault="00991C05" w:rsidP="00C71B09">
      <w:pPr>
        <w:pStyle w:val="FlushLeft"/>
        <w:jc w:val="center"/>
      </w:pPr>
      <w:r>
        <w:t xml:space="preserve">(Deleted text in </w:t>
      </w:r>
      <w:r w:rsidRPr="00991C05">
        <w:rPr>
          <w:strike/>
        </w:rPr>
        <w:t>strikeout</w:t>
      </w:r>
      <w:r>
        <w:t xml:space="preserve">, added text in </w:t>
      </w:r>
      <w:r w:rsidRPr="00991C05">
        <w:rPr>
          <w:u w:val="single"/>
        </w:rPr>
        <w:t>underline</w:t>
      </w:r>
      <w:r>
        <w:t>)</w:t>
      </w:r>
    </w:p>
    <w:p w:rsidR="005770EF" w:rsidRPr="005770EF" w:rsidRDefault="005770EF" w:rsidP="005770EF">
      <w:pPr>
        <w:pStyle w:val="FlushLeft"/>
        <w:jc w:val="left"/>
        <w:rPr>
          <w:szCs w:val="24"/>
        </w:rPr>
      </w:pPr>
    </w:p>
    <w:p w:rsidR="005770EF" w:rsidRPr="005770EF" w:rsidRDefault="005770EF" w:rsidP="005770EF">
      <w:pPr>
        <w:pStyle w:val="p0"/>
        <w:shd w:val="clear" w:color="auto" w:fill="FFFFFF"/>
        <w:spacing w:before="0" w:after="0"/>
        <w:ind w:left="0" w:firstLine="0"/>
        <w:rPr>
          <w:rFonts w:ascii="Times New Roman" w:hAnsi="Times New Roman" w:cs="Times New Roman"/>
          <w:color w:val="333333"/>
          <w:sz w:val="24"/>
          <w:szCs w:val="24"/>
        </w:rPr>
      </w:pPr>
      <w:proofErr w:type="gramStart"/>
      <w:r w:rsidRPr="005770EF">
        <w:rPr>
          <w:rFonts w:ascii="Times New Roman" w:hAnsi="Times New Roman" w:cs="Times New Roman"/>
          <w:b/>
          <w:bCs/>
          <w:color w:val="333333"/>
          <w:sz w:val="24"/>
          <w:szCs w:val="24"/>
        </w:rPr>
        <w:t>Affordable Housing Unit.</w:t>
      </w:r>
      <w:proofErr w:type="gramEnd"/>
      <w:r w:rsidRPr="005770EF">
        <w:rPr>
          <w:rStyle w:val="apple-converted-space"/>
          <w:rFonts w:ascii="Times New Roman" w:hAnsi="Times New Roman" w:cs="Times New Roman"/>
          <w:color w:val="333333"/>
          <w:sz w:val="24"/>
          <w:szCs w:val="24"/>
        </w:rPr>
        <w:t> </w:t>
      </w:r>
      <w:r w:rsidRPr="005770EF">
        <w:rPr>
          <w:rFonts w:ascii="Times New Roman" w:hAnsi="Times New Roman" w:cs="Times New Roman"/>
          <w:color w:val="333333"/>
          <w:sz w:val="24"/>
          <w:szCs w:val="24"/>
        </w:rPr>
        <w:t>A housing unit that is available at an Affordable Rent</w:t>
      </w:r>
      <w:r w:rsidRPr="005770EF">
        <w:rPr>
          <w:rFonts w:ascii="Times New Roman" w:hAnsi="Times New Roman" w:cs="Times New Roman"/>
          <w:strike/>
          <w:color w:val="333333"/>
          <w:sz w:val="24"/>
          <w:szCs w:val="24"/>
        </w:rPr>
        <w:t>,</w:t>
      </w:r>
      <w:r w:rsidRPr="005770EF">
        <w:rPr>
          <w:rFonts w:ascii="Times New Roman" w:hAnsi="Times New Roman" w:cs="Times New Roman"/>
          <w:color w:val="333333"/>
          <w:sz w:val="24"/>
          <w:szCs w:val="24"/>
        </w:rPr>
        <w:t xml:space="preserve"> or Affordable Ownership Cost.</w:t>
      </w:r>
    </w:p>
    <w:p w:rsidR="005770EF" w:rsidRPr="005770EF" w:rsidRDefault="005770EF" w:rsidP="005770EF">
      <w:pPr>
        <w:pStyle w:val="p0"/>
        <w:shd w:val="clear" w:color="auto" w:fill="FFFFFF"/>
        <w:spacing w:before="240" w:after="0"/>
        <w:ind w:left="475" w:firstLine="0"/>
        <w:rPr>
          <w:rFonts w:ascii="Times New Roman" w:hAnsi="Times New Roman" w:cs="Times New Roman"/>
          <w:color w:val="333333"/>
          <w:sz w:val="24"/>
          <w:szCs w:val="24"/>
        </w:rPr>
      </w:pPr>
      <w:proofErr w:type="gramStart"/>
      <w:r w:rsidRPr="005770EF">
        <w:rPr>
          <w:rFonts w:ascii="Times New Roman" w:hAnsi="Times New Roman" w:cs="Times New Roman"/>
          <w:b/>
          <w:bCs/>
          <w:iCs/>
          <w:color w:val="333333"/>
          <w:sz w:val="24"/>
          <w:szCs w:val="24"/>
        </w:rPr>
        <w:t>Affordable Rent</w:t>
      </w:r>
      <w:r w:rsidRPr="005770EF">
        <w:rPr>
          <w:rFonts w:ascii="Times New Roman" w:hAnsi="Times New Roman" w:cs="Times New Roman"/>
          <w:b/>
          <w:bCs/>
          <w:i/>
          <w:iCs/>
          <w:color w:val="333333"/>
          <w:sz w:val="24"/>
          <w:szCs w:val="24"/>
        </w:rPr>
        <w:t>.</w:t>
      </w:r>
      <w:proofErr w:type="gramEnd"/>
      <w:r w:rsidRPr="005770EF">
        <w:rPr>
          <w:rStyle w:val="apple-converted-space"/>
          <w:rFonts w:ascii="Times New Roman" w:hAnsi="Times New Roman" w:cs="Times New Roman"/>
          <w:color w:val="333333"/>
          <w:sz w:val="24"/>
          <w:szCs w:val="24"/>
        </w:rPr>
        <w:t> </w:t>
      </w:r>
      <w:r w:rsidRPr="005770EF">
        <w:rPr>
          <w:rFonts w:ascii="Times New Roman" w:hAnsi="Times New Roman" w:cs="Times New Roman"/>
          <w:color w:val="333333"/>
          <w:sz w:val="24"/>
          <w:szCs w:val="24"/>
        </w:rPr>
        <w:t xml:space="preserve">Monthly housing expenses, including rent and a reasonable allowance for utilities, which does not exceed one-twelfth of thirty </w:t>
      </w:r>
      <w:r w:rsidR="004D1545">
        <w:rPr>
          <w:rFonts w:ascii="Times New Roman" w:hAnsi="Times New Roman" w:cs="Times New Roman"/>
          <w:color w:val="333333"/>
          <w:sz w:val="24"/>
          <w:szCs w:val="24"/>
          <w:u w:val="single"/>
        </w:rPr>
        <w:t xml:space="preserve">(30) </w:t>
      </w:r>
      <w:r w:rsidRPr="005770EF">
        <w:rPr>
          <w:rFonts w:ascii="Times New Roman" w:hAnsi="Times New Roman" w:cs="Times New Roman"/>
          <w:color w:val="333333"/>
          <w:sz w:val="24"/>
          <w:szCs w:val="24"/>
        </w:rPr>
        <w:t>percent of the maximum annual income for a household of the applicable income level for Mono County as published annually pursuant to Title 25 of the California Code of Regulations, Section 6932 (or its successor provision) by the California Department of Housing and Community Development, and adjusted for household size.</w:t>
      </w:r>
    </w:p>
    <w:p w:rsidR="005770EF" w:rsidRPr="005770EF" w:rsidRDefault="005770EF" w:rsidP="005770EF">
      <w:pPr>
        <w:pStyle w:val="p0"/>
        <w:shd w:val="clear" w:color="auto" w:fill="FFFFFF"/>
        <w:spacing w:before="240" w:after="0"/>
        <w:ind w:left="475" w:firstLine="0"/>
        <w:rPr>
          <w:rFonts w:ascii="Times New Roman" w:hAnsi="Times New Roman" w:cs="Times New Roman"/>
          <w:color w:val="333333"/>
          <w:sz w:val="24"/>
          <w:szCs w:val="24"/>
        </w:rPr>
      </w:pPr>
      <w:r w:rsidRPr="005770EF">
        <w:rPr>
          <w:rFonts w:ascii="Times New Roman" w:hAnsi="Times New Roman" w:cs="Times New Roman"/>
          <w:b/>
          <w:bCs/>
          <w:color w:val="333333"/>
          <w:sz w:val="24"/>
          <w:szCs w:val="24"/>
        </w:rPr>
        <w:t>Affordable Ownership Cost.</w:t>
      </w:r>
      <w:r w:rsidRPr="005770EF">
        <w:rPr>
          <w:rStyle w:val="apple-converted-space"/>
          <w:rFonts w:ascii="Times New Roman" w:hAnsi="Times New Roman" w:cs="Times New Roman"/>
          <w:color w:val="333333"/>
          <w:sz w:val="24"/>
          <w:szCs w:val="24"/>
        </w:rPr>
        <w:t> </w:t>
      </w:r>
      <w:r w:rsidRPr="005770EF">
        <w:rPr>
          <w:rFonts w:ascii="Times New Roman" w:hAnsi="Times New Roman" w:cs="Times New Roman"/>
          <w:color w:val="333333"/>
          <w:sz w:val="24"/>
          <w:szCs w:val="24"/>
        </w:rPr>
        <w:t>A sales price for a housing unit resulting in projected average monthly housing payments, during the first calendar year of a household's occupancy, including interest, principal, mortgage insurance, property taxes, homeowners insurance, homeowner's association dues if any, and a reasonable allowance for utilities, property maintenance and repairs, all as determined by the Town, which does not exceed one-twelfth of 35 percent of the maximum annual income for a household of the applicable income level for Mono County as published annually pursuant to Title 25 of the California Code of Regulations, Section 6932 (or its successor provision) by the California Department of Housing and Community Development, and adjusted for household size.</w:t>
      </w:r>
    </w:p>
    <w:p w:rsidR="005770EF" w:rsidRPr="005770EF" w:rsidRDefault="005770EF" w:rsidP="005770EF">
      <w:pPr>
        <w:rPr>
          <w:szCs w:val="24"/>
        </w:rPr>
      </w:pPr>
    </w:p>
    <w:p w:rsidR="005770EF" w:rsidRPr="005770EF" w:rsidRDefault="005770EF" w:rsidP="005770EF">
      <w:pPr>
        <w:rPr>
          <w:color w:val="333333"/>
          <w:szCs w:val="24"/>
          <w:shd w:val="clear" w:color="auto" w:fill="FFFFFF"/>
        </w:rPr>
      </w:pPr>
      <w:r w:rsidRPr="002F7953">
        <w:rPr>
          <w:b/>
          <w:bCs/>
          <w:iCs/>
          <w:color w:val="333333"/>
          <w:szCs w:val="24"/>
          <w:shd w:val="clear" w:color="auto" w:fill="FFFFFF"/>
        </w:rPr>
        <w:t>Alternate Housing Mitigation Plan</w:t>
      </w:r>
      <w:r w:rsidR="002F7953">
        <w:rPr>
          <w:b/>
          <w:bCs/>
          <w:iCs/>
          <w:color w:val="333333"/>
          <w:szCs w:val="24"/>
          <w:u w:val="single"/>
          <w:shd w:val="clear" w:color="auto" w:fill="FFFFFF"/>
        </w:rPr>
        <w:t xml:space="preserve"> (AHMP)</w:t>
      </w:r>
      <w:r w:rsidRPr="005770EF">
        <w:rPr>
          <w:b/>
          <w:bCs/>
          <w:i/>
          <w:iCs/>
          <w:color w:val="333333"/>
          <w:szCs w:val="24"/>
          <w:shd w:val="clear" w:color="auto" w:fill="FFFFFF"/>
        </w:rPr>
        <w:t>.</w:t>
      </w:r>
      <w:r w:rsidRPr="005770EF">
        <w:rPr>
          <w:rStyle w:val="apple-converted-space"/>
          <w:color w:val="333333"/>
          <w:szCs w:val="24"/>
          <w:shd w:val="clear" w:color="auto" w:fill="FFFFFF"/>
        </w:rPr>
        <w:t> </w:t>
      </w:r>
      <w:proofErr w:type="gramStart"/>
      <w:r w:rsidRPr="005770EF">
        <w:rPr>
          <w:color w:val="333333"/>
          <w:szCs w:val="24"/>
          <w:shd w:val="clear" w:color="auto" w:fill="FFFFFF"/>
        </w:rPr>
        <w:t>A plan, prepared in conformance with the requirements of</w:t>
      </w:r>
      <w:r w:rsidRPr="005770EF">
        <w:rPr>
          <w:rStyle w:val="apple-converted-space"/>
          <w:szCs w:val="24"/>
          <w:shd w:val="clear" w:color="auto" w:fill="FFFFFF"/>
        </w:rPr>
        <w:t> </w:t>
      </w:r>
      <w:r w:rsidRPr="005770EF">
        <w:rPr>
          <w:szCs w:val="24"/>
          <w:shd w:val="clear" w:color="auto" w:fill="FFFFFF"/>
        </w:rPr>
        <w:t xml:space="preserve">Chapter 17.136, </w:t>
      </w:r>
      <w:r w:rsidRPr="005770EF">
        <w:rPr>
          <w:color w:val="333333"/>
          <w:szCs w:val="24"/>
          <w:shd w:val="clear" w:color="auto" w:fill="FFFFFF"/>
        </w:rPr>
        <w:t xml:space="preserve">proposing an alternate means to fulfill the </w:t>
      </w:r>
      <w:r w:rsidRPr="002F7953">
        <w:rPr>
          <w:strike/>
          <w:color w:val="333333"/>
          <w:szCs w:val="24"/>
          <w:shd w:val="clear" w:color="auto" w:fill="FFFFFF"/>
        </w:rPr>
        <w:t>inclusionary</w:t>
      </w:r>
      <w:r w:rsidRPr="005770EF">
        <w:rPr>
          <w:color w:val="333333"/>
          <w:szCs w:val="24"/>
          <w:shd w:val="clear" w:color="auto" w:fill="FFFFFF"/>
        </w:rPr>
        <w:t xml:space="preserve"> housing requirements otherwise required by the Chapter.</w:t>
      </w:r>
      <w:proofErr w:type="gramEnd"/>
    </w:p>
    <w:p w:rsidR="005770EF" w:rsidRPr="005770EF" w:rsidRDefault="005770EF" w:rsidP="005770EF">
      <w:pPr>
        <w:rPr>
          <w:szCs w:val="24"/>
        </w:rPr>
      </w:pPr>
    </w:p>
    <w:p w:rsidR="005770EF" w:rsidRDefault="005770EF" w:rsidP="005770EF">
      <w:pPr>
        <w:rPr>
          <w:strike/>
          <w:color w:val="333333"/>
          <w:szCs w:val="24"/>
          <w:shd w:val="clear" w:color="auto" w:fill="FFFFFF"/>
        </w:rPr>
      </w:pPr>
      <w:proofErr w:type="gramStart"/>
      <w:r w:rsidRPr="005770EF">
        <w:rPr>
          <w:b/>
          <w:bCs/>
          <w:color w:val="333333"/>
          <w:szCs w:val="24"/>
          <w:shd w:val="clear" w:color="auto" w:fill="FFFFFF"/>
        </w:rPr>
        <w:t>Below</w:t>
      </w:r>
      <w:r w:rsidR="002F7953">
        <w:rPr>
          <w:b/>
          <w:bCs/>
          <w:color w:val="333333"/>
          <w:szCs w:val="24"/>
          <w:u w:val="single"/>
          <w:shd w:val="clear" w:color="auto" w:fill="FFFFFF"/>
        </w:rPr>
        <w:t xml:space="preserve"> </w:t>
      </w:r>
      <w:r w:rsidRPr="002F7953">
        <w:rPr>
          <w:b/>
          <w:bCs/>
          <w:strike/>
          <w:color w:val="333333"/>
          <w:szCs w:val="24"/>
          <w:shd w:val="clear" w:color="auto" w:fill="FFFFFF"/>
        </w:rPr>
        <w:t>-</w:t>
      </w:r>
      <w:r w:rsidRPr="005770EF">
        <w:rPr>
          <w:b/>
          <w:bCs/>
          <w:color w:val="333333"/>
          <w:szCs w:val="24"/>
          <w:shd w:val="clear" w:color="auto" w:fill="FFFFFF"/>
        </w:rPr>
        <w:t>Market Rate (BMR) Unit.</w:t>
      </w:r>
      <w:proofErr w:type="gramEnd"/>
      <w:r w:rsidRPr="005770EF">
        <w:rPr>
          <w:rStyle w:val="apple-converted-space"/>
          <w:color w:val="333333"/>
          <w:szCs w:val="24"/>
          <w:shd w:val="clear" w:color="auto" w:fill="FFFFFF"/>
        </w:rPr>
        <w:t> </w:t>
      </w:r>
      <w:r w:rsidRPr="005770EF">
        <w:rPr>
          <w:color w:val="333333"/>
          <w:szCs w:val="24"/>
          <w:shd w:val="clear" w:color="auto" w:fill="FFFFFF"/>
        </w:rPr>
        <w:t xml:space="preserve">A dwelling unit that shall be </w:t>
      </w:r>
      <w:r w:rsidRPr="002F7953">
        <w:rPr>
          <w:strike/>
          <w:color w:val="333333"/>
          <w:szCs w:val="24"/>
          <w:shd w:val="clear" w:color="auto" w:fill="FFFFFF"/>
        </w:rPr>
        <w:t>offered at</w:t>
      </w:r>
      <w:r w:rsidRPr="005770EF">
        <w:rPr>
          <w:color w:val="333333"/>
          <w:szCs w:val="24"/>
          <w:shd w:val="clear" w:color="auto" w:fill="FFFFFF"/>
        </w:rPr>
        <w:t xml:space="preserve"> </w:t>
      </w:r>
      <w:r w:rsidR="002F7953">
        <w:rPr>
          <w:color w:val="333333"/>
          <w:szCs w:val="24"/>
          <w:u w:val="single"/>
          <w:shd w:val="clear" w:color="auto" w:fill="FFFFFF"/>
        </w:rPr>
        <w:t xml:space="preserve">restricted to </w:t>
      </w:r>
      <w:r w:rsidRPr="005770EF">
        <w:rPr>
          <w:color w:val="333333"/>
          <w:szCs w:val="24"/>
          <w:shd w:val="clear" w:color="auto" w:fill="FFFFFF"/>
        </w:rPr>
        <w:t xml:space="preserve">an </w:t>
      </w:r>
      <w:proofErr w:type="spellStart"/>
      <w:r w:rsidRPr="002F7953">
        <w:rPr>
          <w:strike/>
          <w:color w:val="333333"/>
          <w:szCs w:val="24"/>
          <w:shd w:val="clear" w:color="auto" w:fill="FFFFFF"/>
        </w:rPr>
        <w:t>a</w:t>
      </w:r>
      <w:r w:rsidR="002F7953" w:rsidRPr="002F7953">
        <w:rPr>
          <w:color w:val="333333"/>
          <w:szCs w:val="24"/>
          <w:u w:val="single"/>
          <w:shd w:val="clear" w:color="auto" w:fill="FFFFFF"/>
        </w:rPr>
        <w:t>A</w:t>
      </w:r>
      <w:r w:rsidRPr="002F7953">
        <w:rPr>
          <w:color w:val="333333"/>
          <w:szCs w:val="24"/>
          <w:shd w:val="clear" w:color="auto" w:fill="FFFFFF"/>
        </w:rPr>
        <w:t>ffordable</w:t>
      </w:r>
      <w:proofErr w:type="spellEnd"/>
      <w:r w:rsidRPr="005770EF">
        <w:rPr>
          <w:color w:val="333333"/>
          <w:szCs w:val="24"/>
          <w:shd w:val="clear" w:color="auto" w:fill="FFFFFF"/>
        </w:rPr>
        <w:t xml:space="preserve"> </w:t>
      </w:r>
      <w:proofErr w:type="spellStart"/>
      <w:r w:rsidRPr="002F7953">
        <w:rPr>
          <w:strike/>
          <w:color w:val="333333"/>
          <w:szCs w:val="24"/>
          <w:shd w:val="clear" w:color="auto" w:fill="FFFFFF"/>
        </w:rPr>
        <w:t>r</w:t>
      </w:r>
      <w:r w:rsidR="002F7953" w:rsidRPr="002F7953">
        <w:rPr>
          <w:color w:val="333333"/>
          <w:szCs w:val="24"/>
          <w:u w:val="single"/>
          <w:shd w:val="clear" w:color="auto" w:fill="FFFFFF"/>
        </w:rPr>
        <w:t>R</w:t>
      </w:r>
      <w:r w:rsidRPr="005770EF">
        <w:rPr>
          <w:color w:val="333333"/>
          <w:szCs w:val="24"/>
          <w:shd w:val="clear" w:color="auto" w:fill="FFFFFF"/>
        </w:rPr>
        <w:t>ent</w:t>
      </w:r>
      <w:proofErr w:type="spellEnd"/>
      <w:r w:rsidRPr="005770EF">
        <w:rPr>
          <w:color w:val="333333"/>
          <w:szCs w:val="24"/>
          <w:shd w:val="clear" w:color="auto" w:fill="FFFFFF"/>
        </w:rPr>
        <w:t xml:space="preserve"> or </w:t>
      </w:r>
      <w:proofErr w:type="spellStart"/>
      <w:r w:rsidRPr="002F7953">
        <w:rPr>
          <w:strike/>
          <w:color w:val="333333"/>
          <w:szCs w:val="24"/>
          <w:shd w:val="clear" w:color="auto" w:fill="FFFFFF"/>
        </w:rPr>
        <w:t>a</w:t>
      </w:r>
      <w:r w:rsidR="002F7953" w:rsidRPr="002F7953">
        <w:rPr>
          <w:color w:val="333333"/>
          <w:szCs w:val="24"/>
          <w:u w:val="single"/>
          <w:shd w:val="clear" w:color="auto" w:fill="FFFFFF"/>
        </w:rPr>
        <w:t>A</w:t>
      </w:r>
      <w:r w:rsidRPr="005770EF">
        <w:rPr>
          <w:color w:val="333333"/>
          <w:szCs w:val="24"/>
          <w:shd w:val="clear" w:color="auto" w:fill="FFFFFF"/>
        </w:rPr>
        <w:t>ffordable</w:t>
      </w:r>
      <w:proofErr w:type="spellEnd"/>
      <w:r w:rsidRPr="005770EF">
        <w:rPr>
          <w:color w:val="333333"/>
          <w:szCs w:val="24"/>
          <w:shd w:val="clear" w:color="auto" w:fill="FFFFFF"/>
        </w:rPr>
        <w:t xml:space="preserve"> </w:t>
      </w:r>
      <w:proofErr w:type="spellStart"/>
      <w:r w:rsidRPr="002F7953">
        <w:rPr>
          <w:strike/>
          <w:color w:val="333333"/>
          <w:szCs w:val="24"/>
          <w:shd w:val="clear" w:color="auto" w:fill="FFFFFF"/>
        </w:rPr>
        <w:t>o</w:t>
      </w:r>
      <w:r w:rsidR="002F7953" w:rsidRPr="002F7953">
        <w:rPr>
          <w:color w:val="333333"/>
          <w:szCs w:val="24"/>
          <w:u w:val="single"/>
          <w:shd w:val="clear" w:color="auto" w:fill="FFFFFF"/>
        </w:rPr>
        <w:t>O</w:t>
      </w:r>
      <w:r w:rsidRPr="005770EF">
        <w:rPr>
          <w:color w:val="333333"/>
          <w:szCs w:val="24"/>
          <w:shd w:val="clear" w:color="auto" w:fill="FFFFFF"/>
        </w:rPr>
        <w:t>wnership</w:t>
      </w:r>
      <w:proofErr w:type="spellEnd"/>
      <w:r w:rsidRPr="005770EF">
        <w:rPr>
          <w:color w:val="333333"/>
          <w:szCs w:val="24"/>
          <w:shd w:val="clear" w:color="auto" w:fill="FFFFFF"/>
        </w:rPr>
        <w:t xml:space="preserve"> </w:t>
      </w:r>
      <w:proofErr w:type="spellStart"/>
      <w:r w:rsidRPr="002F7953">
        <w:rPr>
          <w:strike/>
          <w:color w:val="333333"/>
          <w:szCs w:val="24"/>
          <w:shd w:val="clear" w:color="auto" w:fill="FFFFFF"/>
        </w:rPr>
        <w:t>c</w:t>
      </w:r>
      <w:r w:rsidR="002F7953" w:rsidRPr="002F7953">
        <w:rPr>
          <w:color w:val="333333"/>
          <w:szCs w:val="24"/>
          <w:u w:val="single"/>
          <w:shd w:val="clear" w:color="auto" w:fill="FFFFFF"/>
        </w:rPr>
        <w:t>C</w:t>
      </w:r>
      <w:r w:rsidRPr="005770EF">
        <w:rPr>
          <w:color w:val="333333"/>
          <w:szCs w:val="24"/>
          <w:shd w:val="clear" w:color="auto" w:fill="FFFFFF"/>
        </w:rPr>
        <w:t>ost</w:t>
      </w:r>
      <w:proofErr w:type="spellEnd"/>
      <w:r w:rsidRPr="005770EF">
        <w:rPr>
          <w:color w:val="333333"/>
          <w:szCs w:val="24"/>
          <w:shd w:val="clear" w:color="auto" w:fill="FFFFFF"/>
        </w:rPr>
        <w:t xml:space="preserve"> to </w:t>
      </w:r>
      <w:r w:rsidR="002F7953">
        <w:rPr>
          <w:color w:val="333333"/>
          <w:szCs w:val="24"/>
          <w:u w:val="single"/>
          <w:shd w:val="clear" w:color="auto" w:fill="FFFFFF"/>
        </w:rPr>
        <w:t xml:space="preserve">individuals and households working in the community of Mammoth Lakes, including but not limited to those at the </w:t>
      </w:r>
      <w:r w:rsidRPr="005770EF">
        <w:rPr>
          <w:color w:val="333333"/>
          <w:szCs w:val="24"/>
          <w:shd w:val="clear" w:color="auto" w:fill="FFFFFF"/>
        </w:rPr>
        <w:t xml:space="preserve">very-low, low-, or moderate income </w:t>
      </w:r>
      <w:proofErr w:type="spellStart"/>
      <w:r w:rsidR="002F7953">
        <w:rPr>
          <w:color w:val="333333"/>
          <w:szCs w:val="24"/>
          <w:u w:val="single"/>
          <w:shd w:val="clear" w:color="auto" w:fill="FFFFFF"/>
        </w:rPr>
        <w:t>levels</w:t>
      </w:r>
      <w:r w:rsidRPr="002F7953">
        <w:rPr>
          <w:strike/>
          <w:color w:val="333333"/>
          <w:szCs w:val="24"/>
          <w:shd w:val="clear" w:color="auto" w:fill="FFFFFF"/>
        </w:rPr>
        <w:t>households</w:t>
      </w:r>
      <w:proofErr w:type="spellEnd"/>
      <w:r w:rsidRPr="002F7953">
        <w:rPr>
          <w:strike/>
          <w:color w:val="333333"/>
          <w:szCs w:val="24"/>
          <w:shd w:val="clear" w:color="auto" w:fill="FFFFFF"/>
        </w:rPr>
        <w:t xml:space="preserve"> and is required by the Town</w:t>
      </w:r>
      <w:r w:rsidRPr="005770EF">
        <w:rPr>
          <w:color w:val="333333"/>
          <w:szCs w:val="24"/>
          <w:shd w:val="clear" w:color="auto" w:fill="FFFFFF"/>
        </w:rPr>
        <w:t xml:space="preserve"> pursuant to</w:t>
      </w:r>
      <w:r w:rsidRPr="005770EF">
        <w:rPr>
          <w:rStyle w:val="apple-converted-space"/>
          <w:szCs w:val="24"/>
          <w:shd w:val="clear" w:color="auto" w:fill="FFFFFF"/>
        </w:rPr>
        <w:t> </w:t>
      </w:r>
      <w:r w:rsidRPr="005770EF">
        <w:rPr>
          <w:szCs w:val="24"/>
          <w:shd w:val="clear" w:color="auto" w:fill="FFFFFF"/>
        </w:rPr>
        <w:t>Chapter 17.136</w:t>
      </w:r>
      <w:r w:rsidRPr="005770EF">
        <w:rPr>
          <w:color w:val="333333"/>
          <w:szCs w:val="24"/>
          <w:shd w:val="clear" w:color="auto" w:fill="FFFFFF"/>
        </w:rPr>
        <w:t xml:space="preserve">. </w:t>
      </w:r>
      <w:r w:rsidRPr="002F7953">
        <w:rPr>
          <w:strike/>
          <w:color w:val="333333"/>
          <w:szCs w:val="24"/>
          <w:shd w:val="clear" w:color="auto" w:fill="FFFFFF"/>
        </w:rPr>
        <w:t>At the Town's discretion, a Workforce Housing Unit may also be classified as a BMR unit.</w:t>
      </w:r>
    </w:p>
    <w:p w:rsidR="002F7953" w:rsidRPr="002F7953" w:rsidRDefault="002F7953" w:rsidP="005770EF">
      <w:pPr>
        <w:rPr>
          <w:strike/>
          <w:color w:val="333333"/>
          <w:szCs w:val="24"/>
          <w:shd w:val="clear" w:color="auto" w:fill="FFFFFF"/>
        </w:rPr>
      </w:pPr>
    </w:p>
    <w:p w:rsidR="005770EF" w:rsidRPr="00FA3F26" w:rsidRDefault="005770EF" w:rsidP="005770EF">
      <w:pPr>
        <w:rPr>
          <w:strike/>
          <w:color w:val="333333"/>
          <w:szCs w:val="24"/>
          <w:shd w:val="clear" w:color="auto" w:fill="FFFFFF"/>
        </w:rPr>
      </w:pPr>
      <w:proofErr w:type="gramStart"/>
      <w:r w:rsidRPr="00FA3F26">
        <w:rPr>
          <w:b/>
          <w:bCs/>
          <w:strike/>
          <w:color w:val="333333"/>
          <w:szCs w:val="24"/>
          <w:shd w:val="clear" w:color="auto" w:fill="FFFFFF"/>
        </w:rPr>
        <w:t>Housing Mitigation Plan.</w:t>
      </w:r>
      <w:proofErr w:type="gramEnd"/>
      <w:r w:rsidRPr="00FA3F26">
        <w:rPr>
          <w:rStyle w:val="apple-converted-space"/>
          <w:strike/>
          <w:color w:val="333333"/>
          <w:szCs w:val="24"/>
          <w:shd w:val="clear" w:color="auto" w:fill="FFFFFF"/>
        </w:rPr>
        <w:t> </w:t>
      </w:r>
      <w:r w:rsidRPr="00FA3F26">
        <w:rPr>
          <w:strike/>
          <w:color w:val="333333"/>
          <w:szCs w:val="24"/>
          <w:shd w:val="clear" w:color="auto" w:fill="FFFFFF"/>
        </w:rPr>
        <w:t>An applicant's statement, developed in accordance with the provisions of</w:t>
      </w:r>
      <w:r w:rsidRPr="00FA3F26">
        <w:rPr>
          <w:rStyle w:val="apple-converted-space"/>
          <w:strike/>
          <w:color w:val="446E9B"/>
          <w:szCs w:val="24"/>
          <w:u w:val="single"/>
          <w:shd w:val="clear" w:color="auto" w:fill="FFFFFF"/>
        </w:rPr>
        <w:t> </w:t>
      </w:r>
      <w:r w:rsidRPr="00FA3F26">
        <w:rPr>
          <w:strike/>
          <w:szCs w:val="24"/>
          <w:shd w:val="clear" w:color="auto" w:fill="FFFFFF"/>
        </w:rPr>
        <w:t>Chapter 17.136</w:t>
      </w:r>
      <w:r w:rsidRPr="00FA3F26">
        <w:rPr>
          <w:strike/>
          <w:color w:val="333333"/>
          <w:szCs w:val="24"/>
          <w:shd w:val="clear" w:color="auto" w:fill="FFFFFF"/>
        </w:rPr>
        <w:t>, of how a project will conform to the Town's inclusionary housing requirements. See also "Alternate Housing Mitigation Plan."</w:t>
      </w:r>
    </w:p>
    <w:p w:rsidR="005770EF" w:rsidRPr="005770EF" w:rsidRDefault="005770EF" w:rsidP="005770EF">
      <w:pPr>
        <w:rPr>
          <w:szCs w:val="24"/>
        </w:rPr>
      </w:pPr>
    </w:p>
    <w:p w:rsidR="005770EF" w:rsidRPr="005770EF" w:rsidRDefault="005770EF" w:rsidP="00FA3F26">
      <w:pPr>
        <w:pStyle w:val="p0"/>
        <w:shd w:val="clear" w:color="auto" w:fill="FFFFFF"/>
        <w:spacing w:before="0" w:after="0"/>
        <w:ind w:left="0" w:firstLine="0"/>
        <w:rPr>
          <w:rFonts w:ascii="Times New Roman" w:hAnsi="Times New Roman" w:cs="Times New Roman"/>
          <w:color w:val="333333"/>
          <w:sz w:val="24"/>
          <w:szCs w:val="24"/>
        </w:rPr>
      </w:pPr>
      <w:proofErr w:type="gramStart"/>
      <w:r w:rsidRPr="005770EF">
        <w:rPr>
          <w:rFonts w:ascii="Times New Roman" w:hAnsi="Times New Roman" w:cs="Times New Roman"/>
          <w:b/>
          <w:bCs/>
          <w:color w:val="333333"/>
          <w:sz w:val="24"/>
          <w:szCs w:val="24"/>
        </w:rPr>
        <w:t>Housing.</w:t>
      </w:r>
      <w:proofErr w:type="gramEnd"/>
      <w:r w:rsidRPr="005770EF">
        <w:rPr>
          <w:rStyle w:val="apple-converted-space"/>
          <w:rFonts w:ascii="Times New Roman" w:hAnsi="Times New Roman" w:cs="Times New Roman"/>
          <w:color w:val="333333"/>
          <w:sz w:val="24"/>
          <w:szCs w:val="24"/>
        </w:rPr>
        <w:t> </w:t>
      </w:r>
      <w:r w:rsidRPr="005770EF">
        <w:rPr>
          <w:rFonts w:ascii="Times New Roman" w:hAnsi="Times New Roman" w:cs="Times New Roman"/>
          <w:color w:val="333333"/>
          <w:sz w:val="24"/>
          <w:szCs w:val="24"/>
        </w:rPr>
        <w:t>The following terms are defined for the purposes of</w:t>
      </w:r>
      <w:r w:rsidRPr="005770EF">
        <w:rPr>
          <w:rStyle w:val="apple-converted-space"/>
          <w:rFonts w:ascii="Times New Roman" w:hAnsi="Times New Roman" w:cs="Times New Roman"/>
          <w:color w:val="446E9B"/>
          <w:sz w:val="24"/>
          <w:szCs w:val="24"/>
          <w:u w:val="single"/>
        </w:rPr>
        <w:t> </w:t>
      </w:r>
      <w:r w:rsidRPr="005770EF">
        <w:rPr>
          <w:rFonts w:ascii="Times New Roman" w:hAnsi="Times New Roman" w:cs="Times New Roman"/>
          <w:color w:val="333333"/>
          <w:sz w:val="24"/>
          <w:szCs w:val="24"/>
        </w:rPr>
        <w:t>Chapter 17.136</w:t>
      </w:r>
      <w:r w:rsidRPr="005770EF">
        <w:rPr>
          <w:rStyle w:val="apple-converted-space"/>
          <w:rFonts w:ascii="Times New Roman" w:hAnsi="Times New Roman" w:cs="Times New Roman"/>
          <w:color w:val="333333"/>
          <w:sz w:val="24"/>
          <w:szCs w:val="24"/>
        </w:rPr>
        <w:t> </w:t>
      </w:r>
      <w:r w:rsidRPr="005770EF">
        <w:rPr>
          <w:rFonts w:ascii="Times New Roman" w:hAnsi="Times New Roman" w:cs="Times New Roman"/>
          <w:color w:val="333333"/>
          <w:sz w:val="24"/>
          <w:szCs w:val="24"/>
        </w:rPr>
        <w:t>(Housing).</w:t>
      </w:r>
    </w:p>
    <w:p w:rsidR="005770EF" w:rsidRPr="005770EF" w:rsidRDefault="005770EF" w:rsidP="005770EF">
      <w:pPr>
        <w:pStyle w:val="Body1"/>
        <w:numPr>
          <w:ilvl w:val="0"/>
          <w:numId w:val="35"/>
        </w:numPr>
        <w:shd w:val="clear" w:color="auto" w:fill="FFFFFF"/>
        <w:ind w:left="720" w:hanging="270"/>
        <w:jc w:val="left"/>
        <w:rPr>
          <w:color w:val="333333"/>
          <w:szCs w:val="24"/>
        </w:rPr>
      </w:pPr>
      <w:r w:rsidRPr="005770EF">
        <w:rPr>
          <w:b/>
          <w:bCs/>
          <w:color w:val="333333"/>
          <w:szCs w:val="24"/>
        </w:rPr>
        <w:t>Affordable Housing.</w:t>
      </w:r>
      <w:r w:rsidRPr="005770EF">
        <w:rPr>
          <w:rStyle w:val="apple-converted-space"/>
          <w:color w:val="333333"/>
          <w:szCs w:val="24"/>
        </w:rPr>
        <w:t> </w:t>
      </w:r>
      <w:r w:rsidRPr="005770EF">
        <w:rPr>
          <w:color w:val="333333"/>
          <w:szCs w:val="24"/>
        </w:rPr>
        <w:t xml:space="preserve">Housing that is restricted </w:t>
      </w:r>
      <w:r w:rsidRPr="00FA3F26">
        <w:rPr>
          <w:strike/>
          <w:color w:val="333333"/>
          <w:szCs w:val="24"/>
        </w:rPr>
        <w:t>as</w:t>
      </w:r>
      <w:r w:rsidRPr="005770EF">
        <w:rPr>
          <w:color w:val="333333"/>
          <w:szCs w:val="24"/>
        </w:rPr>
        <w:t xml:space="preserve"> to </w:t>
      </w:r>
      <w:r w:rsidR="00FA3F26">
        <w:rPr>
          <w:color w:val="333333"/>
          <w:szCs w:val="24"/>
          <w:u w:val="single"/>
        </w:rPr>
        <w:t xml:space="preserve">a </w:t>
      </w:r>
      <w:r w:rsidRPr="005770EF">
        <w:rPr>
          <w:color w:val="333333"/>
          <w:szCs w:val="24"/>
        </w:rPr>
        <w:t xml:space="preserve">rental rate or sales price </w:t>
      </w:r>
      <w:r w:rsidR="00FA3F26">
        <w:rPr>
          <w:color w:val="333333"/>
          <w:szCs w:val="24"/>
          <w:u w:val="single"/>
        </w:rPr>
        <w:t xml:space="preserve">for which the occupant(s) is/are paying approximately thirty (30) percent of their gross </w:t>
      </w:r>
      <w:r w:rsidR="00FA3F26">
        <w:rPr>
          <w:color w:val="333333"/>
          <w:szCs w:val="24"/>
          <w:u w:val="single"/>
        </w:rPr>
        <w:lastRenderedPageBreak/>
        <w:t xml:space="preserve">income for housing costs, adjusted for household </w:t>
      </w:r>
      <w:proofErr w:type="spellStart"/>
      <w:r w:rsidR="00FA3F26">
        <w:rPr>
          <w:color w:val="333333"/>
          <w:szCs w:val="24"/>
          <w:u w:val="single"/>
        </w:rPr>
        <w:t>size</w:t>
      </w:r>
      <w:r w:rsidRPr="00FA3F26">
        <w:rPr>
          <w:strike/>
          <w:color w:val="333333"/>
          <w:szCs w:val="24"/>
        </w:rPr>
        <w:t>based</w:t>
      </w:r>
      <w:proofErr w:type="spellEnd"/>
      <w:r w:rsidRPr="00FA3F26">
        <w:rPr>
          <w:strike/>
          <w:color w:val="333333"/>
          <w:szCs w:val="24"/>
        </w:rPr>
        <w:t xml:space="preserve"> upon household income and size criteria as defined by the state of California or the town of Mammoth Lakes</w:t>
      </w:r>
      <w:r w:rsidRPr="005770EF">
        <w:rPr>
          <w:color w:val="333333"/>
          <w:szCs w:val="24"/>
        </w:rPr>
        <w:t>.</w:t>
      </w:r>
    </w:p>
    <w:p w:rsidR="005770EF" w:rsidRPr="005770EF" w:rsidRDefault="005770EF" w:rsidP="005770EF">
      <w:pPr>
        <w:pStyle w:val="Body1"/>
        <w:numPr>
          <w:ilvl w:val="0"/>
          <w:numId w:val="35"/>
        </w:numPr>
        <w:shd w:val="clear" w:color="auto" w:fill="FFFFFF"/>
        <w:ind w:left="720" w:hanging="270"/>
        <w:jc w:val="left"/>
        <w:rPr>
          <w:color w:val="333333"/>
          <w:szCs w:val="24"/>
        </w:rPr>
      </w:pPr>
      <w:r w:rsidRPr="005770EF">
        <w:rPr>
          <w:b/>
          <w:bCs/>
          <w:color w:val="333333"/>
          <w:szCs w:val="24"/>
        </w:rPr>
        <w:t>Bedroom.</w:t>
      </w:r>
      <w:r w:rsidRPr="005770EF">
        <w:rPr>
          <w:rStyle w:val="apple-converted-space"/>
          <w:color w:val="333333"/>
          <w:szCs w:val="24"/>
        </w:rPr>
        <w:t> </w:t>
      </w:r>
      <w:r w:rsidRPr="005770EF">
        <w:rPr>
          <w:color w:val="333333"/>
          <w:szCs w:val="24"/>
        </w:rPr>
        <w:t xml:space="preserve">A room designed to be used for sleeping purposes which </w:t>
      </w:r>
      <w:r w:rsidRPr="00AD25C9">
        <w:rPr>
          <w:strike/>
          <w:color w:val="333333"/>
          <w:szCs w:val="24"/>
        </w:rPr>
        <w:t>may</w:t>
      </w:r>
      <w:r w:rsidRPr="005770EF">
        <w:rPr>
          <w:color w:val="333333"/>
          <w:szCs w:val="24"/>
        </w:rPr>
        <w:t xml:space="preserve"> contain</w:t>
      </w:r>
      <w:r w:rsidR="00AD25C9">
        <w:rPr>
          <w:color w:val="333333"/>
          <w:szCs w:val="24"/>
          <w:u w:val="single"/>
        </w:rPr>
        <w:t>s a</w:t>
      </w:r>
      <w:r w:rsidRPr="005770EF">
        <w:rPr>
          <w:color w:val="333333"/>
          <w:szCs w:val="24"/>
        </w:rPr>
        <w:t xml:space="preserve"> closet</w:t>
      </w:r>
      <w:r w:rsidR="00AD25C9" w:rsidRPr="00AD25C9">
        <w:rPr>
          <w:color w:val="333333"/>
          <w:szCs w:val="24"/>
          <w:u w:val="single"/>
        </w:rPr>
        <w:t>(</w:t>
      </w:r>
      <w:r w:rsidRPr="005770EF">
        <w:rPr>
          <w:color w:val="333333"/>
          <w:szCs w:val="24"/>
        </w:rPr>
        <w:t>s</w:t>
      </w:r>
      <w:r w:rsidR="00AD25C9" w:rsidRPr="00AD25C9">
        <w:rPr>
          <w:color w:val="333333"/>
          <w:szCs w:val="24"/>
          <w:u w:val="single"/>
        </w:rPr>
        <w:t>)</w:t>
      </w:r>
      <w:r w:rsidRPr="005770EF">
        <w:rPr>
          <w:color w:val="333333"/>
          <w:szCs w:val="24"/>
        </w:rPr>
        <w:t>, shall have access to a bathroom and which meets applicable California Building Standards Code requirements for light, ventilation, sanitation and egress and has a minimum floor area of 100 square feet plus closet.</w:t>
      </w:r>
    </w:p>
    <w:p w:rsidR="005770EF" w:rsidRPr="005770EF" w:rsidRDefault="005770EF" w:rsidP="005770EF">
      <w:pPr>
        <w:pStyle w:val="Body1"/>
        <w:numPr>
          <w:ilvl w:val="0"/>
          <w:numId w:val="35"/>
        </w:numPr>
        <w:shd w:val="clear" w:color="auto" w:fill="FFFFFF"/>
        <w:ind w:left="720" w:hanging="270"/>
        <w:jc w:val="left"/>
        <w:rPr>
          <w:color w:val="333333"/>
          <w:szCs w:val="24"/>
        </w:rPr>
      </w:pPr>
      <w:r w:rsidRPr="005770EF">
        <w:rPr>
          <w:b/>
          <w:bCs/>
          <w:color w:val="333333"/>
          <w:szCs w:val="24"/>
        </w:rPr>
        <w:t>Deed Restriction.</w:t>
      </w:r>
      <w:r w:rsidRPr="005770EF">
        <w:rPr>
          <w:rStyle w:val="apple-converted-space"/>
          <w:color w:val="333333"/>
          <w:szCs w:val="24"/>
        </w:rPr>
        <w:t> </w:t>
      </w:r>
      <w:r w:rsidRPr="005770EF">
        <w:rPr>
          <w:color w:val="333333"/>
          <w:szCs w:val="24"/>
        </w:rPr>
        <w:t xml:space="preserve">A recorded contract entered into between the </w:t>
      </w:r>
      <w:proofErr w:type="spellStart"/>
      <w:r w:rsidR="00AD25C9">
        <w:rPr>
          <w:color w:val="333333"/>
          <w:szCs w:val="24"/>
          <w:u w:val="single"/>
        </w:rPr>
        <w:t>T</w:t>
      </w:r>
      <w:r w:rsidRPr="00AD25C9">
        <w:rPr>
          <w:strike/>
          <w:color w:val="333333"/>
          <w:szCs w:val="24"/>
        </w:rPr>
        <w:t>t</w:t>
      </w:r>
      <w:r w:rsidRPr="005770EF">
        <w:rPr>
          <w:color w:val="333333"/>
          <w:szCs w:val="24"/>
        </w:rPr>
        <w:t>own</w:t>
      </w:r>
      <w:proofErr w:type="spellEnd"/>
      <w:r w:rsidRPr="005770EF">
        <w:rPr>
          <w:color w:val="333333"/>
          <w:szCs w:val="24"/>
        </w:rPr>
        <w:t xml:space="preserve"> of Mammoth Lakes </w:t>
      </w:r>
      <w:r w:rsidR="00AD25C9">
        <w:rPr>
          <w:color w:val="333333"/>
          <w:szCs w:val="24"/>
          <w:u w:val="single"/>
        </w:rPr>
        <w:t xml:space="preserve">or its designee </w:t>
      </w:r>
      <w:r w:rsidRPr="005770EF">
        <w:rPr>
          <w:color w:val="333333"/>
          <w:szCs w:val="24"/>
        </w:rPr>
        <w:t>and the owner or purchaser of real property identifying the conditions of occupancy and resale.</w:t>
      </w:r>
    </w:p>
    <w:p w:rsidR="005770EF" w:rsidRPr="00AD25C9" w:rsidRDefault="005770EF" w:rsidP="005770EF">
      <w:pPr>
        <w:pStyle w:val="Body1"/>
        <w:numPr>
          <w:ilvl w:val="0"/>
          <w:numId w:val="35"/>
        </w:numPr>
        <w:shd w:val="clear" w:color="auto" w:fill="FFFFFF"/>
        <w:ind w:left="720" w:hanging="270"/>
        <w:jc w:val="left"/>
        <w:rPr>
          <w:strike/>
          <w:color w:val="333333"/>
          <w:szCs w:val="24"/>
        </w:rPr>
      </w:pPr>
      <w:r w:rsidRPr="00AD25C9">
        <w:rPr>
          <w:b/>
          <w:bCs/>
          <w:strike/>
          <w:color w:val="333333"/>
          <w:szCs w:val="24"/>
        </w:rPr>
        <w:t>Dwelling Unit.</w:t>
      </w:r>
      <w:r w:rsidRPr="00AD25C9">
        <w:rPr>
          <w:rStyle w:val="apple-converted-space"/>
          <w:strike/>
          <w:color w:val="333333"/>
          <w:szCs w:val="24"/>
        </w:rPr>
        <w:t> </w:t>
      </w:r>
      <w:r w:rsidRPr="00AD25C9">
        <w:rPr>
          <w:strike/>
          <w:color w:val="333333"/>
          <w:szCs w:val="24"/>
        </w:rPr>
        <w:t>For the purposes of calculating density in multiple-family zones, a one bedroom unit or studio unit up to a maximum eight hundred fifty net square feet of living area, shall be considered to equal one-half of a dwelling.</w:t>
      </w:r>
    </w:p>
    <w:p w:rsidR="005770EF" w:rsidRPr="005770EF" w:rsidRDefault="005770EF" w:rsidP="005770EF">
      <w:pPr>
        <w:pStyle w:val="Body1"/>
        <w:numPr>
          <w:ilvl w:val="0"/>
          <w:numId w:val="35"/>
        </w:numPr>
        <w:shd w:val="clear" w:color="auto" w:fill="FFFFFF"/>
        <w:ind w:left="720" w:hanging="270"/>
        <w:jc w:val="left"/>
        <w:rPr>
          <w:color w:val="333333"/>
          <w:szCs w:val="24"/>
        </w:rPr>
      </w:pPr>
      <w:r w:rsidRPr="005770EF">
        <w:rPr>
          <w:b/>
          <w:bCs/>
          <w:color w:val="333333"/>
          <w:szCs w:val="24"/>
        </w:rPr>
        <w:t>Existing Long-</w:t>
      </w:r>
      <w:proofErr w:type="spellStart"/>
      <w:r w:rsidR="00AD25C9" w:rsidRPr="00AD25C9">
        <w:rPr>
          <w:b/>
          <w:bCs/>
          <w:color w:val="333333"/>
          <w:szCs w:val="24"/>
          <w:u w:val="single"/>
        </w:rPr>
        <w:t>T</w:t>
      </w:r>
      <w:r w:rsidRPr="00AD25C9">
        <w:rPr>
          <w:b/>
          <w:bCs/>
          <w:strike/>
          <w:color w:val="333333"/>
          <w:szCs w:val="24"/>
        </w:rPr>
        <w:t>t</w:t>
      </w:r>
      <w:r w:rsidRPr="005770EF">
        <w:rPr>
          <w:b/>
          <w:bCs/>
          <w:color w:val="333333"/>
          <w:szCs w:val="24"/>
        </w:rPr>
        <w:t>erm</w:t>
      </w:r>
      <w:proofErr w:type="spellEnd"/>
      <w:r w:rsidRPr="005770EF">
        <w:rPr>
          <w:b/>
          <w:bCs/>
          <w:color w:val="333333"/>
          <w:szCs w:val="24"/>
        </w:rPr>
        <w:t xml:space="preserve"> Rental Unit.</w:t>
      </w:r>
      <w:r w:rsidRPr="005770EF">
        <w:rPr>
          <w:rStyle w:val="apple-converted-space"/>
          <w:color w:val="333333"/>
          <w:szCs w:val="24"/>
        </w:rPr>
        <w:t> </w:t>
      </w:r>
      <w:r w:rsidRPr="005770EF">
        <w:rPr>
          <w:color w:val="333333"/>
          <w:szCs w:val="24"/>
        </w:rPr>
        <w:t>Any dwelling that has been leased for residential purposes for a period or periods in excess of thirty consecutive days for more than five months per year within the last two years.</w:t>
      </w:r>
    </w:p>
    <w:p w:rsidR="005770EF" w:rsidRPr="00AD25C9" w:rsidRDefault="005770EF" w:rsidP="005770EF">
      <w:pPr>
        <w:pStyle w:val="Body1"/>
        <w:numPr>
          <w:ilvl w:val="0"/>
          <w:numId w:val="35"/>
        </w:numPr>
        <w:shd w:val="clear" w:color="auto" w:fill="FFFFFF"/>
        <w:ind w:left="720" w:hanging="270"/>
        <w:jc w:val="left"/>
        <w:rPr>
          <w:strike/>
          <w:color w:val="333333"/>
          <w:szCs w:val="24"/>
        </w:rPr>
      </w:pPr>
      <w:r w:rsidRPr="00AD25C9">
        <w:rPr>
          <w:b/>
          <w:bCs/>
          <w:strike/>
          <w:color w:val="333333"/>
          <w:szCs w:val="24"/>
        </w:rPr>
        <w:t>Full-time Equivalent Employee (FTEE).</w:t>
      </w:r>
      <w:r w:rsidRPr="00AD25C9">
        <w:rPr>
          <w:rStyle w:val="apple-converted-space"/>
          <w:strike/>
          <w:color w:val="333333"/>
          <w:szCs w:val="24"/>
        </w:rPr>
        <w:t> </w:t>
      </w:r>
      <w:r w:rsidRPr="00AD25C9">
        <w:rPr>
          <w:strike/>
          <w:color w:val="333333"/>
          <w:szCs w:val="24"/>
        </w:rPr>
        <w:t xml:space="preserve">A full-time employee or combination of part-time employees. When employee generation calculation results in seasonal or part-time employees, those employees are grouped together to form FTEEs. Full-time year round employees equal one FTEE, part-time year round employees and full-time seasonal employees equal one-half </w:t>
      </w:r>
      <w:proofErr w:type="gramStart"/>
      <w:r w:rsidRPr="00AD25C9">
        <w:rPr>
          <w:strike/>
          <w:color w:val="333333"/>
          <w:szCs w:val="24"/>
        </w:rPr>
        <w:t>FTEE,</w:t>
      </w:r>
      <w:proofErr w:type="gramEnd"/>
      <w:r w:rsidRPr="00AD25C9">
        <w:rPr>
          <w:strike/>
          <w:color w:val="333333"/>
          <w:szCs w:val="24"/>
        </w:rPr>
        <w:t xml:space="preserve"> and part-time seasonal employees equal one-quarter FTEE.</w:t>
      </w:r>
    </w:p>
    <w:p w:rsidR="005770EF" w:rsidRPr="00AD25C9" w:rsidRDefault="005770EF" w:rsidP="005770EF">
      <w:pPr>
        <w:pStyle w:val="Body1"/>
        <w:numPr>
          <w:ilvl w:val="0"/>
          <w:numId w:val="35"/>
        </w:numPr>
        <w:shd w:val="clear" w:color="auto" w:fill="FFFFFF"/>
        <w:ind w:left="720" w:hanging="270"/>
        <w:jc w:val="left"/>
        <w:rPr>
          <w:strike/>
          <w:color w:val="333333"/>
          <w:szCs w:val="24"/>
        </w:rPr>
      </w:pPr>
      <w:r w:rsidRPr="00AD25C9">
        <w:rPr>
          <w:b/>
          <w:bCs/>
          <w:strike/>
          <w:color w:val="333333"/>
          <w:szCs w:val="24"/>
        </w:rPr>
        <w:t>Housing Mitigation Development Plan (HMDP).</w:t>
      </w:r>
      <w:r w:rsidRPr="00AD25C9">
        <w:rPr>
          <w:rStyle w:val="apple-converted-space"/>
          <w:strike/>
          <w:color w:val="333333"/>
          <w:szCs w:val="24"/>
        </w:rPr>
        <w:t> </w:t>
      </w:r>
      <w:r w:rsidRPr="00AD25C9">
        <w:rPr>
          <w:strike/>
          <w:color w:val="333333"/>
          <w:szCs w:val="24"/>
        </w:rPr>
        <w:t xml:space="preserve">A housing mitigation plan, written and submitted by the </w:t>
      </w:r>
      <w:proofErr w:type="gramStart"/>
      <w:r w:rsidRPr="00AD25C9">
        <w:rPr>
          <w:strike/>
          <w:color w:val="333333"/>
          <w:szCs w:val="24"/>
        </w:rPr>
        <w:t>developer, that</w:t>
      </w:r>
      <w:proofErr w:type="gramEnd"/>
      <w:r w:rsidRPr="00AD25C9">
        <w:rPr>
          <w:strike/>
          <w:color w:val="333333"/>
          <w:szCs w:val="24"/>
        </w:rPr>
        <w:t xml:space="preserve"> details how the developer intends to mitigate affordable housing impacts.</w:t>
      </w:r>
    </w:p>
    <w:p w:rsidR="005770EF" w:rsidRPr="005770EF" w:rsidRDefault="005770EF" w:rsidP="005770EF">
      <w:pPr>
        <w:pStyle w:val="Body1"/>
        <w:numPr>
          <w:ilvl w:val="0"/>
          <w:numId w:val="35"/>
        </w:numPr>
        <w:shd w:val="clear" w:color="auto" w:fill="FFFFFF"/>
        <w:ind w:left="720" w:hanging="270"/>
        <w:jc w:val="left"/>
        <w:rPr>
          <w:color w:val="333333"/>
          <w:szCs w:val="24"/>
        </w:rPr>
      </w:pPr>
      <w:r w:rsidRPr="005770EF">
        <w:rPr>
          <w:b/>
          <w:bCs/>
          <w:color w:val="333333"/>
          <w:szCs w:val="24"/>
        </w:rPr>
        <w:t>New Development.</w:t>
      </w:r>
      <w:r w:rsidRPr="005770EF">
        <w:rPr>
          <w:rStyle w:val="apple-converted-space"/>
          <w:color w:val="333333"/>
          <w:szCs w:val="24"/>
        </w:rPr>
        <w:t> </w:t>
      </w:r>
      <w:r w:rsidRPr="005770EF">
        <w:rPr>
          <w:color w:val="333333"/>
          <w:szCs w:val="24"/>
        </w:rPr>
        <w:t xml:space="preserve">Any new construction or conversion of use resulting in an increase in </w:t>
      </w:r>
      <w:r w:rsidR="00D240E6">
        <w:rPr>
          <w:color w:val="333333"/>
          <w:szCs w:val="24"/>
          <w:u w:val="single"/>
        </w:rPr>
        <w:t xml:space="preserve">housing mitigation </w:t>
      </w:r>
      <w:proofErr w:type="spellStart"/>
      <w:r w:rsidR="00D240E6">
        <w:rPr>
          <w:color w:val="333333"/>
          <w:szCs w:val="24"/>
          <w:u w:val="single"/>
        </w:rPr>
        <w:t>requirements</w:t>
      </w:r>
      <w:r w:rsidRPr="00D240E6">
        <w:rPr>
          <w:strike/>
          <w:color w:val="333333"/>
          <w:szCs w:val="24"/>
        </w:rPr>
        <w:t>the</w:t>
      </w:r>
      <w:proofErr w:type="spellEnd"/>
      <w:r w:rsidRPr="00D240E6">
        <w:rPr>
          <w:strike/>
          <w:color w:val="333333"/>
          <w:szCs w:val="24"/>
        </w:rPr>
        <w:t xml:space="preserve"> employee generation </w:t>
      </w:r>
      <w:r w:rsidRPr="005770EF">
        <w:rPr>
          <w:color w:val="333333"/>
          <w:szCs w:val="24"/>
        </w:rPr>
        <w:t xml:space="preserve">as described in </w:t>
      </w:r>
      <w:r w:rsidR="00D240E6">
        <w:rPr>
          <w:color w:val="333333"/>
          <w:szCs w:val="24"/>
        </w:rPr>
        <w:t>Chapter 17.136</w:t>
      </w:r>
      <w:r w:rsidRPr="00D240E6">
        <w:rPr>
          <w:strike/>
          <w:color w:val="333333"/>
          <w:szCs w:val="24"/>
        </w:rPr>
        <w:t>Table 17.132.020-1</w:t>
      </w:r>
      <w:r w:rsidRPr="005770EF">
        <w:rPr>
          <w:color w:val="333333"/>
          <w:szCs w:val="24"/>
        </w:rPr>
        <w:t>. New development includes expansions of, or additions to, existing uses.</w:t>
      </w:r>
    </w:p>
    <w:p w:rsidR="005770EF" w:rsidRPr="00D240E6" w:rsidRDefault="005770EF" w:rsidP="005770EF">
      <w:pPr>
        <w:pStyle w:val="Body1"/>
        <w:numPr>
          <w:ilvl w:val="0"/>
          <w:numId w:val="35"/>
        </w:numPr>
        <w:shd w:val="clear" w:color="auto" w:fill="FFFFFF"/>
        <w:ind w:left="720" w:hanging="270"/>
        <w:jc w:val="left"/>
        <w:rPr>
          <w:strike/>
          <w:color w:val="333333"/>
          <w:szCs w:val="24"/>
        </w:rPr>
      </w:pPr>
      <w:r w:rsidRPr="00D240E6">
        <w:rPr>
          <w:b/>
          <w:bCs/>
          <w:strike/>
          <w:color w:val="333333"/>
          <w:szCs w:val="24"/>
        </w:rPr>
        <w:t>Sleeping Area.</w:t>
      </w:r>
      <w:r w:rsidRPr="00D240E6">
        <w:rPr>
          <w:rStyle w:val="apple-converted-space"/>
          <w:strike/>
          <w:color w:val="333333"/>
          <w:szCs w:val="24"/>
        </w:rPr>
        <w:t> </w:t>
      </w:r>
      <w:r w:rsidRPr="00D240E6">
        <w:rPr>
          <w:strike/>
          <w:color w:val="333333"/>
          <w:szCs w:val="24"/>
        </w:rPr>
        <w:t>Any bedroom, loft, or other space that can be equipped with beds, foldout sofas or other similar sleeping furniture within a visitor accommodation/transient occupancy facility.</w:t>
      </w:r>
    </w:p>
    <w:p w:rsidR="005770EF" w:rsidRPr="00AD25C9" w:rsidRDefault="005770EF" w:rsidP="00AD25C9">
      <w:pPr>
        <w:pStyle w:val="Body1"/>
        <w:numPr>
          <w:ilvl w:val="0"/>
          <w:numId w:val="35"/>
        </w:numPr>
        <w:shd w:val="clear" w:color="auto" w:fill="FFFFFF"/>
        <w:ind w:left="720" w:hanging="270"/>
        <w:jc w:val="left"/>
        <w:rPr>
          <w:color w:val="333333"/>
          <w:szCs w:val="24"/>
        </w:rPr>
      </w:pPr>
      <w:r w:rsidRPr="005770EF">
        <w:rPr>
          <w:b/>
          <w:bCs/>
          <w:color w:val="333333"/>
          <w:szCs w:val="24"/>
        </w:rPr>
        <w:t>Workforce Housing.</w:t>
      </w:r>
      <w:r w:rsidRPr="005770EF">
        <w:rPr>
          <w:rStyle w:val="apple-converted-space"/>
          <w:color w:val="333333"/>
          <w:szCs w:val="24"/>
        </w:rPr>
        <w:t> </w:t>
      </w:r>
      <w:r w:rsidRPr="005770EF">
        <w:rPr>
          <w:color w:val="333333"/>
          <w:szCs w:val="24"/>
        </w:rPr>
        <w:t xml:space="preserve">Housing that is restricted for rent or purchase by individuals and households working in the community of Mammoth Lakes. </w:t>
      </w:r>
      <w:r w:rsidR="00D240E6">
        <w:rPr>
          <w:color w:val="333333"/>
          <w:szCs w:val="24"/>
          <w:u w:val="single"/>
        </w:rPr>
        <w:t xml:space="preserve">Workforce Housing is Affordable Housing for workers. </w:t>
      </w:r>
      <w:r w:rsidRPr="005770EF">
        <w:rPr>
          <w:color w:val="333333"/>
          <w:szCs w:val="24"/>
        </w:rPr>
        <w:t>Employment criteria, rental rates</w:t>
      </w:r>
      <w:r w:rsidR="00D240E6">
        <w:rPr>
          <w:color w:val="333333"/>
          <w:szCs w:val="24"/>
          <w:u w:val="single"/>
        </w:rPr>
        <w:t>,</w:t>
      </w:r>
      <w:r w:rsidRPr="005770EF">
        <w:rPr>
          <w:color w:val="333333"/>
          <w:szCs w:val="24"/>
        </w:rPr>
        <w:t xml:space="preserve"> and sales prices for </w:t>
      </w:r>
      <w:proofErr w:type="spellStart"/>
      <w:r w:rsidR="00D240E6">
        <w:rPr>
          <w:color w:val="333333"/>
          <w:szCs w:val="24"/>
          <w:u w:val="single"/>
        </w:rPr>
        <w:t>W</w:t>
      </w:r>
      <w:r w:rsidRPr="00D240E6">
        <w:rPr>
          <w:strike/>
          <w:color w:val="333333"/>
          <w:szCs w:val="24"/>
        </w:rPr>
        <w:t>w</w:t>
      </w:r>
      <w:r w:rsidRPr="005770EF">
        <w:rPr>
          <w:color w:val="333333"/>
          <w:szCs w:val="24"/>
        </w:rPr>
        <w:t>orkforce</w:t>
      </w:r>
      <w:proofErr w:type="spellEnd"/>
      <w:r w:rsidRPr="005770EF">
        <w:rPr>
          <w:color w:val="333333"/>
          <w:szCs w:val="24"/>
        </w:rPr>
        <w:t xml:space="preserve"> </w:t>
      </w:r>
      <w:proofErr w:type="spellStart"/>
      <w:r w:rsidR="00D240E6">
        <w:rPr>
          <w:color w:val="333333"/>
          <w:szCs w:val="24"/>
          <w:u w:val="single"/>
        </w:rPr>
        <w:t>H</w:t>
      </w:r>
      <w:r w:rsidRPr="00D240E6">
        <w:rPr>
          <w:strike/>
          <w:color w:val="333333"/>
          <w:szCs w:val="24"/>
        </w:rPr>
        <w:t>h</w:t>
      </w:r>
      <w:r w:rsidRPr="005770EF">
        <w:rPr>
          <w:color w:val="333333"/>
          <w:szCs w:val="24"/>
        </w:rPr>
        <w:t>ousing</w:t>
      </w:r>
      <w:proofErr w:type="spellEnd"/>
      <w:r w:rsidRPr="005770EF">
        <w:rPr>
          <w:color w:val="333333"/>
          <w:szCs w:val="24"/>
        </w:rPr>
        <w:t xml:space="preserve"> shall be established administratively</w:t>
      </w:r>
      <w:r w:rsidR="00D240E6">
        <w:rPr>
          <w:color w:val="333333"/>
          <w:szCs w:val="24"/>
        </w:rPr>
        <w:t xml:space="preserve"> </w:t>
      </w:r>
      <w:r w:rsidR="00D240E6">
        <w:rPr>
          <w:color w:val="333333"/>
          <w:szCs w:val="24"/>
          <w:u w:val="single"/>
        </w:rPr>
        <w:t>by the Town</w:t>
      </w:r>
      <w:bookmarkStart w:id="1" w:name="_GoBack"/>
      <w:bookmarkEnd w:id="1"/>
      <w:r w:rsidRPr="005770EF">
        <w:rPr>
          <w:color w:val="333333"/>
          <w:szCs w:val="24"/>
        </w:rPr>
        <w:t>.</w:t>
      </w:r>
    </w:p>
    <w:sectPr w:rsidR="005770EF" w:rsidRPr="00AD25C9" w:rsidSect="00F05D97">
      <w:headerReference w:type="default" r:id="rId9"/>
      <w:headerReference w:type="first" r:id="rId10"/>
      <w:type w:val="continuous"/>
      <w:pgSz w:w="12240" w:h="15840" w:code="1"/>
      <w:pgMar w:top="1440" w:right="1440" w:bottom="1440" w:left="156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F26" w:rsidRDefault="00FA3F26">
      <w:r>
        <w:separator/>
      </w:r>
    </w:p>
  </w:endnote>
  <w:endnote w:type="continuationSeparator" w:id="0">
    <w:p w:rsidR="00FA3F26" w:rsidRDefault="00FA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F26" w:rsidRDefault="00FA3F26">
      <w:r>
        <w:separator/>
      </w:r>
    </w:p>
  </w:footnote>
  <w:footnote w:type="continuationSeparator" w:id="0">
    <w:p w:rsidR="00FA3F26" w:rsidRDefault="00FA3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F26" w:rsidRPr="00561865" w:rsidRDefault="00FA3F26">
    <w:pPr>
      <w:pStyle w:val="Header"/>
      <w:rPr>
        <w:sz w:val="20"/>
      </w:rPr>
    </w:pPr>
    <w:r w:rsidRPr="00561865">
      <w:rPr>
        <w:sz w:val="20"/>
      </w:rPr>
      <w:t>Ordinance No. 1</w:t>
    </w:r>
    <w:r>
      <w:rPr>
        <w:sz w:val="20"/>
      </w:rPr>
      <w:t>5</w:t>
    </w:r>
    <w:r w:rsidRPr="00561865">
      <w:rPr>
        <w:sz w:val="20"/>
      </w:rPr>
      <w:t>-</w:t>
    </w:r>
  </w:p>
  <w:p w:rsidR="00FA3F26" w:rsidRDefault="00FA3F26">
    <w:pPr>
      <w:pStyle w:val="Header"/>
    </w:pPr>
    <w:r w:rsidRPr="00561865">
      <w:rPr>
        <w:sz w:val="20"/>
      </w:rPr>
      <w:t xml:space="preserve">Page </w:t>
    </w:r>
    <w:r w:rsidRPr="00561865">
      <w:rPr>
        <w:sz w:val="20"/>
      </w:rPr>
      <w:fldChar w:fldCharType="begin"/>
    </w:r>
    <w:r w:rsidRPr="00561865">
      <w:rPr>
        <w:sz w:val="20"/>
      </w:rPr>
      <w:instrText xml:space="preserve"> PAGE  \* Arabic  \* MERGEFORMAT </w:instrText>
    </w:r>
    <w:r w:rsidRPr="00561865">
      <w:rPr>
        <w:sz w:val="20"/>
      </w:rPr>
      <w:fldChar w:fldCharType="separate"/>
    </w:r>
    <w:r w:rsidR="00D240E6">
      <w:rPr>
        <w:noProof/>
        <w:sz w:val="20"/>
      </w:rPr>
      <w:t>25</w:t>
    </w:r>
    <w:r w:rsidRPr="00561865">
      <w:rPr>
        <w:sz w:val="20"/>
      </w:rPr>
      <w:fldChar w:fldCharType="end"/>
    </w:r>
    <w:r w:rsidRPr="00561865">
      <w:rPr>
        <w:sz w:val="20"/>
      </w:rPr>
      <w:t xml:space="preserve"> of </w:t>
    </w:r>
    <w:r w:rsidRPr="00561865">
      <w:rPr>
        <w:sz w:val="20"/>
      </w:rPr>
      <w:fldChar w:fldCharType="begin"/>
    </w:r>
    <w:r w:rsidRPr="00561865">
      <w:rPr>
        <w:sz w:val="20"/>
      </w:rPr>
      <w:instrText xml:space="preserve"> NUMPAGES  \* Arabic  \* MERGEFORMAT </w:instrText>
    </w:r>
    <w:r w:rsidRPr="00561865">
      <w:rPr>
        <w:sz w:val="20"/>
      </w:rPr>
      <w:fldChar w:fldCharType="separate"/>
    </w:r>
    <w:r w:rsidR="00D240E6">
      <w:rPr>
        <w:noProof/>
        <w:sz w:val="20"/>
      </w:rPr>
      <w:t>25</w:t>
    </w:r>
    <w:r w:rsidRPr="00561865">
      <w:rPr>
        <w:sz w:val="20"/>
      </w:rPr>
      <w:fldChar w:fldCharType="end"/>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F26" w:rsidRDefault="00FA3F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6A40C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8004FD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4147FF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1B6F0F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2866D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8A6D6E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C98F88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866384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BB88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B2A601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EA069C"/>
    <w:multiLevelType w:val="hybridMultilevel"/>
    <w:tmpl w:val="EDE03DD6"/>
    <w:lvl w:ilvl="0" w:tplc="F510F068">
      <w:start w:val="1"/>
      <w:numFmt w:val="upperLetter"/>
      <w:lvlText w:val="%1."/>
      <w:lvlJc w:val="lef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CC025D"/>
    <w:multiLevelType w:val="hybridMultilevel"/>
    <w:tmpl w:val="F2DEEC86"/>
    <w:lvl w:ilvl="0" w:tplc="76AE8D5E">
      <w:start w:val="1"/>
      <w:numFmt w:val="lowerLetter"/>
      <w:lvlText w:val="%1."/>
      <w:lvlJc w:val="left"/>
      <w:pPr>
        <w:tabs>
          <w:tab w:val="num" w:pos="360"/>
        </w:tabs>
        <w:ind w:left="360" w:hanging="360"/>
      </w:pPr>
      <w:rPr>
        <w:rFonts w:ascii="Times New Roman" w:hAnsi="Times New Roman" w:hint="default"/>
        <w:b w:val="0"/>
        <w:i w:val="0"/>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5CE4756"/>
    <w:multiLevelType w:val="hybridMultilevel"/>
    <w:tmpl w:val="D3C6FF9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nsid w:val="16EB63BB"/>
    <w:multiLevelType w:val="hybridMultilevel"/>
    <w:tmpl w:val="8552384C"/>
    <w:lvl w:ilvl="0" w:tplc="E1B6B4FE">
      <w:start w:val="1"/>
      <w:numFmt w:val="upperLetter"/>
      <w:lvlText w:val="%1."/>
      <w:lvlJc w:val="righ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984954"/>
    <w:multiLevelType w:val="hybridMultilevel"/>
    <w:tmpl w:val="E43EC0DA"/>
    <w:lvl w:ilvl="0" w:tplc="067ADD62">
      <w:start w:val="1"/>
      <w:numFmt w:val="decimal"/>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DE7836"/>
    <w:multiLevelType w:val="hybridMultilevel"/>
    <w:tmpl w:val="E3E207EA"/>
    <w:lvl w:ilvl="0" w:tplc="E1B6B4FE">
      <w:start w:val="1"/>
      <w:numFmt w:val="upperLetter"/>
      <w:lvlText w:val="%1."/>
      <w:lvlJc w:val="righ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00293D"/>
    <w:multiLevelType w:val="hybridMultilevel"/>
    <w:tmpl w:val="1B560130"/>
    <w:lvl w:ilvl="0" w:tplc="BEE01976">
      <w:start w:val="1"/>
      <w:numFmt w:val="upperLetter"/>
      <w:lvlText w:val="%1."/>
      <w:lvlJc w:val="left"/>
      <w:pPr>
        <w:ind w:left="720" w:hanging="360"/>
      </w:pPr>
      <w:rPr>
        <w:rFonts w:ascii="Times New Roman" w:hAnsi="Times New Roman"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B86622"/>
    <w:multiLevelType w:val="hybridMultilevel"/>
    <w:tmpl w:val="13E20C00"/>
    <w:lvl w:ilvl="0" w:tplc="F510F068">
      <w:start w:val="1"/>
      <w:numFmt w:val="upperLetter"/>
      <w:lvlText w:val="%1."/>
      <w:lvlJc w:val="lef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F510F068">
      <w:start w:val="1"/>
      <w:numFmt w:val="upperLetter"/>
      <w:lvlText w:val="%3."/>
      <w:lvlJc w:val="left"/>
      <w:pPr>
        <w:ind w:left="2160" w:hanging="180"/>
      </w:pPr>
      <w:rPr>
        <w:rFonts w:ascii="Times New Roman Bold" w:hAnsi="Times New Roman Bold" w:hint="default"/>
        <w:b/>
        <w:i w:val="0"/>
        <w:sz w:val="24"/>
      </w:rPr>
    </w:lvl>
    <w:lvl w:ilvl="3" w:tplc="0409000F">
      <w:start w:val="1"/>
      <w:numFmt w:val="decimal"/>
      <w:lvlText w:val="%4."/>
      <w:lvlJc w:val="left"/>
      <w:pPr>
        <w:ind w:left="2880" w:hanging="360"/>
      </w:pPr>
    </w:lvl>
    <w:lvl w:ilvl="4" w:tplc="ACC0B144">
      <w:start w:val="1"/>
      <w:numFmt w:val="low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2F256E"/>
    <w:multiLevelType w:val="hybridMultilevel"/>
    <w:tmpl w:val="5EE4EE2E"/>
    <w:lvl w:ilvl="0" w:tplc="E1B6B4FE">
      <w:start w:val="1"/>
      <w:numFmt w:val="upperLetter"/>
      <w:lvlText w:val="%1."/>
      <w:lvlJc w:val="righ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8D66B5"/>
    <w:multiLevelType w:val="hybridMultilevel"/>
    <w:tmpl w:val="D9ECD414"/>
    <w:lvl w:ilvl="0" w:tplc="067ADD62">
      <w:start w:val="1"/>
      <w:numFmt w:val="decimal"/>
      <w:lvlText w:val="%1."/>
      <w:lvlJc w:val="left"/>
      <w:pPr>
        <w:ind w:left="1440" w:hanging="360"/>
      </w:pPr>
      <w:rPr>
        <w:rFonts w:ascii="Times New Roman" w:hAnsi="Times New Roman" w:hint="default"/>
        <w:b w:val="0"/>
        <w:i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B4A2D8A"/>
    <w:multiLevelType w:val="hybridMultilevel"/>
    <w:tmpl w:val="F9828A68"/>
    <w:lvl w:ilvl="0" w:tplc="E1B6B4FE">
      <w:start w:val="1"/>
      <w:numFmt w:val="upperLetter"/>
      <w:lvlText w:val="%1."/>
      <w:lvlJc w:val="right"/>
      <w:pPr>
        <w:ind w:left="720" w:hanging="360"/>
      </w:pPr>
      <w:rPr>
        <w:rFonts w:ascii="Times New Roman Bold" w:hAnsi="Times New Roman Bold" w:hint="default"/>
        <w:b/>
        <w:i w:val="0"/>
        <w:sz w:val="24"/>
      </w:rPr>
    </w:lvl>
    <w:lvl w:ilvl="1" w:tplc="E0BC2C26">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F52603"/>
    <w:multiLevelType w:val="hybridMultilevel"/>
    <w:tmpl w:val="01BA9EFE"/>
    <w:lvl w:ilvl="0" w:tplc="E1B6B4FE">
      <w:start w:val="1"/>
      <w:numFmt w:val="upperLetter"/>
      <w:lvlText w:val="%1."/>
      <w:lvlJc w:val="righ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5300CB"/>
    <w:multiLevelType w:val="hybridMultilevel"/>
    <w:tmpl w:val="D58E4214"/>
    <w:lvl w:ilvl="0" w:tplc="067ADD62">
      <w:start w:val="1"/>
      <w:numFmt w:val="decimal"/>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8BF478FA">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E83B9D"/>
    <w:multiLevelType w:val="hybridMultilevel"/>
    <w:tmpl w:val="7E8E975A"/>
    <w:lvl w:ilvl="0" w:tplc="F510F068">
      <w:start w:val="1"/>
      <w:numFmt w:val="upperLetter"/>
      <w:lvlText w:val="%1."/>
      <w:lvlJc w:val="lef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9E17B9"/>
    <w:multiLevelType w:val="hybridMultilevel"/>
    <w:tmpl w:val="935CA478"/>
    <w:lvl w:ilvl="0" w:tplc="E1B6B4FE">
      <w:start w:val="1"/>
      <w:numFmt w:val="upperLetter"/>
      <w:lvlText w:val="%1."/>
      <w:lvlJc w:val="righ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103A7A"/>
    <w:multiLevelType w:val="hybridMultilevel"/>
    <w:tmpl w:val="A2DE88EC"/>
    <w:lvl w:ilvl="0" w:tplc="E1B6B4FE">
      <w:start w:val="1"/>
      <w:numFmt w:val="upperLetter"/>
      <w:lvlText w:val="%1."/>
      <w:lvlJc w:val="righ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6A04BA"/>
    <w:multiLevelType w:val="hybridMultilevel"/>
    <w:tmpl w:val="EACE914A"/>
    <w:lvl w:ilvl="0" w:tplc="C912486C">
      <w:start w:val="1"/>
      <w:numFmt w:val="upperLetter"/>
      <w:lvlText w:val="%1."/>
      <w:lvlJc w:val="right"/>
      <w:pPr>
        <w:ind w:left="720" w:hanging="360"/>
      </w:pPr>
      <w:rPr>
        <w:rFonts w:ascii="Times New Roman Bold" w:hAnsi="Times New Roman Bold" w:hint="default"/>
        <w:b/>
        <w:i w:val="0"/>
        <w:sz w:val="24"/>
      </w:rPr>
    </w:lvl>
    <w:lvl w:ilvl="1" w:tplc="067ADD62">
      <w:start w:val="1"/>
      <w:numFmt w:val="decimal"/>
      <w:lvlText w:val="%2."/>
      <w:lvlJc w:val="left"/>
      <w:pPr>
        <w:ind w:left="1440" w:hanging="360"/>
      </w:pPr>
      <w:rPr>
        <w:rFonts w:ascii="Times New Roman" w:hAnsi="Times New Roman" w:hint="default"/>
        <w:b w:val="0"/>
        <w:i w:val="0"/>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407D10"/>
    <w:multiLevelType w:val="hybridMultilevel"/>
    <w:tmpl w:val="3A2C3C3A"/>
    <w:lvl w:ilvl="0" w:tplc="76AE8D5E">
      <w:start w:val="1"/>
      <w:numFmt w:val="lowerLetter"/>
      <w:lvlText w:val="%1."/>
      <w:lvlJc w:val="left"/>
      <w:pPr>
        <w:tabs>
          <w:tab w:val="num" w:pos="2340"/>
        </w:tabs>
        <w:ind w:left="234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8E03813"/>
    <w:multiLevelType w:val="hybridMultilevel"/>
    <w:tmpl w:val="C3F4042A"/>
    <w:lvl w:ilvl="0" w:tplc="F510F068">
      <w:start w:val="1"/>
      <w:numFmt w:val="upperLetter"/>
      <w:lvlText w:val="%1."/>
      <w:lvlJc w:val="lef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236A51"/>
    <w:multiLevelType w:val="hybridMultilevel"/>
    <w:tmpl w:val="E384B9BC"/>
    <w:lvl w:ilvl="0" w:tplc="BEE01976">
      <w:start w:val="1"/>
      <w:numFmt w:val="upperLetter"/>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483852"/>
    <w:multiLevelType w:val="hybridMultilevel"/>
    <w:tmpl w:val="B73048D8"/>
    <w:lvl w:ilvl="0" w:tplc="41D4C51E">
      <w:start w:val="1"/>
      <w:numFmt w:val="decimal"/>
      <w:lvlText w:val="%1."/>
      <w:lvlJc w:val="left"/>
      <w:pPr>
        <w:ind w:left="1440" w:hanging="360"/>
      </w:pPr>
      <w:rPr>
        <w:rFonts w:ascii="Times New Roman" w:hAnsi="Times New Roman" w:hint="default"/>
        <w:b w:val="0"/>
        <w:i w:val="0"/>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1656FB1"/>
    <w:multiLevelType w:val="hybridMultilevel"/>
    <w:tmpl w:val="309051F6"/>
    <w:lvl w:ilvl="0" w:tplc="E1B6B4FE">
      <w:start w:val="1"/>
      <w:numFmt w:val="upperLetter"/>
      <w:lvlText w:val="%1."/>
      <w:lvlJc w:val="right"/>
      <w:pPr>
        <w:ind w:left="720" w:hanging="360"/>
      </w:pPr>
      <w:rPr>
        <w:rFonts w:ascii="Times New Roman Bold" w:hAnsi="Times New Roman Bold"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9F24A1"/>
    <w:multiLevelType w:val="hybridMultilevel"/>
    <w:tmpl w:val="E182E6A4"/>
    <w:lvl w:ilvl="0" w:tplc="2F80A580">
      <w:start w:val="1"/>
      <w:numFmt w:val="decimal"/>
      <w:lvlText w:val="%1."/>
      <w:lvlJc w:val="left"/>
      <w:pPr>
        <w:tabs>
          <w:tab w:val="num" w:pos="3240"/>
        </w:tabs>
        <w:ind w:left="324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nsid w:val="726553AF"/>
    <w:multiLevelType w:val="hybridMultilevel"/>
    <w:tmpl w:val="43A0E142"/>
    <w:lvl w:ilvl="0" w:tplc="E1B6B4FE">
      <w:start w:val="1"/>
      <w:numFmt w:val="upperLetter"/>
      <w:lvlText w:val="%1."/>
      <w:lvlJc w:val="right"/>
      <w:pPr>
        <w:ind w:left="1440" w:hanging="360"/>
      </w:pPr>
      <w:rPr>
        <w:rFonts w:ascii="Times New Roman Bold" w:hAnsi="Times New Roman Bold"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CC5616F"/>
    <w:multiLevelType w:val="hybridMultilevel"/>
    <w:tmpl w:val="3D8A23B6"/>
    <w:lvl w:ilvl="0" w:tplc="9E9441A6">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2"/>
  </w:num>
  <w:num w:numId="13">
    <w:abstractNumId w:val="27"/>
  </w:num>
  <w:num w:numId="14">
    <w:abstractNumId w:val="34"/>
  </w:num>
  <w:num w:numId="15">
    <w:abstractNumId w:val="33"/>
  </w:num>
  <w:num w:numId="16">
    <w:abstractNumId w:val="29"/>
  </w:num>
  <w:num w:numId="17">
    <w:abstractNumId w:val="16"/>
  </w:num>
  <w:num w:numId="18">
    <w:abstractNumId w:val="10"/>
  </w:num>
  <w:num w:numId="19">
    <w:abstractNumId w:val="23"/>
  </w:num>
  <w:num w:numId="20">
    <w:abstractNumId w:val="28"/>
  </w:num>
  <w:num w:numId="21">
    <w:abstractNumId w:val="22"/>
  </w:num>
  <w:num w:numId="22">
    <w:abstractNumId w:val="17"/>
  </w:num>
  <w:num w:numId="23">
    <w:abstractNumId w:val="15"/>
  </w:num>
  <w:num w:numId="24">
    <w:abstractNumId w:val="31"/>
  </w:num>
  <w:num w:numId="25">
    <w:abstractNumId w:val="24"/>
  </w:num>
  <w:num w:numId="26">
    <w:abstractNumId w:val="25"/>
  </w:num>
  <w:num w:numId="27">
    <w:abstractNumId w:val="21"/>
  </w:num>
  <w:num w:numId="28">
    <w:abstractNumId w:val="13"/>
  </w:num>
  <w:num w:numId="29">
    <w:abstractNumId w:val="14"/>
  </w:num>
  <w:num w:numId="30">
    <w:abstractNumId w:val="18"/>
  </w:num>
  <w:num w:numId="31">
    <w:abstractNumId w:val="26"/>
  </w:num>
  <w:num w:numId="32">
    <w:abstractNumId w:val="19"/>
  </w:num>
  <w:num w:numId="33">
    <w:abstractNumId w:val="30"/>
  </w:num>
  <w:num w:numId="34">
    <w:abstractNumId w:val="20"/>
  </w:num>
  <w:num w:numId="35">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45"/>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99B"/>
    <w:rsid w:val="000304A0"/>
    <w:rsid w:val="00032E70"/>
    <w:rsid w:val="00051F35"/>
    <w:rsid w:val="00072DE8"/>
    <w:rsid w:val="00076165"/>
    <w:rsid w:val="000837D5"/>
    <w:rsid w:val="000B2534"/>
    <w:rsid w:val="000B2C78"/>
    <w:rsid w:val="000B659D"/>
    <w:rsid w:val="000C2686"/>
    <w:rsid w:val="000D4650"/>
    <w:rsid w:val="000D4D23"/>
    <w:rsid w:val="000E0A04"/>
    <w:rsid w:val="000F1412"/>
    <w:rsid w:val="000F1820"/>
    <w:rsid w:val="00145995"/>
    <w:rsid w:val="00145F93"/>
    <w:rsid w:val="0017103C"/>
    <w:rsid w:val="00192BDE"/>
    <w:rsid w:val="001958DD"/>
    <w:rsid w:val="001970EE"/>
    <w:rsid w:val="001A502B"/>
    <w:rsid w:val="001A7D87"/>
    <w:rsid w:val="00216738"/>
    <w:rsid w:val="00231C8D"/>
    <w:rsid w:val="00234DD7"/>
    <w:rsid w:val="002435B2"/>
    <w:rsid w:val="00244C46"/>
    <w:rsid w:val="002B048A"/>
    <w:rsid w:val="002B7F7C"/>
    <w:rsid w:val="002D64F4"/>
    <w:rsid w:val="002D79C3"/>
    <w:rsid w:val="002F7953"/>
    <w:rsid w:val="003179AD"/>
    <w:rsid w:val="00332054"/>
    <w:rsid w:val="003742C4"/>
    <w:rsid w:val="00385359"/>
    <w:rsid w:val="003915AF"/>
    <w:rsid w:val="003A70A9"/>
    <w:rsid w:val="003B3E2C"/>
    <w:rsid w:val="003C27E1"/>
    <w:rsid w:val="003E159B"/>
    <w:rsid w:val="003F1C2F"/>
    <w:rsid w:val="003F5CBC"/>
    <w:rsid w:val="0041344A"/>
    <w:rsid w:val="0041655B"/>
    <w:rsid w:val="00432890"/>
    <w:rsid w:val="004469B6"/>
    <w:rsid w:val="00453DF2"/>
    <w:rsid w:val="00497AE4"/>
    <w:rsid w:val="004D1545"/>
    <w:rsid w:val="004E74E4"/>
    <w:rsid w:val="00506291"/>
    <w:rsid w:val="00507270"/>
    <w:rsid w:val="0051017F"/>
    <w:rsid w:val="00513406"/>
    <w:rsid w:val="00513E2F"/>
    <w:rsid w:val="00524BBC"/>
    <w:rsid w:val="00551E58"/>
    <w:rsid w:val="005566F7"/>
    <w:rsid w:val="00561865"/>
    <w:rsid w:val="005770EF"/>
    <w:rsid w:val="00594CCE"/>
    <w:rsid w:val="005A181C"/>
    <w:rsid w:val="005B7207"/>
    <w:rsid w:val="005D707A"/>
    <w:rsid w:val="005D7A76"/>
    <w:rsid w:val="005E0716"/>
    <w:rsid w:val="005F6AAC"/>
    <w:rsid w:val="00634E0B"/>
    <w:rsid w:val="006373CC"/>
    <w:rsid w:val="00644049"/>
    <w:rsid w:val="00644C74"/>
    <w:rsid w:val="006826E4"/>
    <w:rsid w:val="00686E7A"/>
    <w:rsid w:val="006A3F9D"/>
    <w:rsid w:val="00701FE8"/>
    <w:rsid w:val="00703F92"/>
    <w:rsid w:val="0070603B"/>
    <w:rsid w:val="00726642"/>
    <w:rsid w:val="00797849"/>
    <w:rsid w:val="007A3CFC"/>
    <w:rsid w:val="007D12A2"/>
    <w:rsid w:val="007F2148"/>
    <w:rsid w:val="00817645"/>
    <w:rsid w:val="00822EC3"/>
    <w:rsid w:val="008256E5"/>
    <w:rsid w:val="008308E8"/>
    <w:rsid w:val="008324AD"/>
    <w:rsid w:val="008716F3"/>
    <w:rsid w:val="008760D3"/>
    <w:rsid w:val="00882449"/>
    <w:rsid w:val="00887C87"/>
    <w:rsid w:val="008A4C1B"/>
    <w:rsid w:val="008A70D2"/>
    <w:rsid w:val="008C0B9A"/>
    <w:rsid w:val="008C3478"/>
    <w:rsid w:val="008C5211"/>
    <w:rsid w:val="00906410"/>
    <w:rsid w:val="00911038"/>
    <w:rsid w:val="00934199"/>
    <w:rsid w:val="00945759"/>
    <w:rsid w:val="0094625D"/>
    <w:rsid w:val="00991C05"/>
    <w:rsid w:val="00994596"/>
    <w:rsid w:val="009B1ECC"/>
    <w:rsid w:val="009B2894"/>
    <w:rsid w:val="009C7913"/>
    <w:rsid w:val="009D609C"/>
    <w:rsid w:val="00A07CB0"/>
    <w:rsid w:val="00A14825"/>
    <w:rsid w:val="00A20466"/>
    <w:rsid w:val="00A530FB"/>
    <w:rsid w:val="00A67C98"/>
    <w:rsid w:val="00A70C74"/>
    <w:rsid w:val="00A720DB"/>
    <w:rsid w:val="00A77AE2"/>
    <w:rsid w:val="00A978D1"/>
    <w:rsid w:val="00AC2566"/>
    <w:rsid w:val="00AD25C9"/>
    <w:rsid w:val="00AD45E2"/>
    <w:rsid w:val="00AD4D9F"/>
    <w:rsid w:val="00AF220C"/>
    <w:rsid w:val="00AF727E"/>
    <w:rsid w:val="00B044E0"/>
    <w:rsid w:val="00B3510B"/>
    <w:rsid w:val="00B62C93"/>
    <w:rsid w:val="00B74EDA"/>
    <w:rsid w:val="00B77578"/>
    <w:rsid w:val="00B95D1E"/>
    <w:rsid w:val="00B97E33"/>
    <w:rsid w:val="00BA6694"/>
    <w:rsid w:val="00BC4E5E"/>
    <w:rsid w:val="00BE57E4"/>
    <w:rsid w:val="00BE6AF4"/>
    <w:rsid w:val="00C034DD"/>
    <w:rsid w:val="00C25A8D"/>
    <w:rsid w:val="00C41A57"/>
    <w:rsid w:val="00C453FE"/>
    <w:rsid w:val="00C53942"/>
    <w:rsid w:val="00C62963"/>
    <w:rsid w:val="00C71B09"/>
    <w:rsid w:val="00C9233F"/>
    <w:rsid w:val="00CA3FC9"/>
    <w:rsid w:val="00CB2E9A"/>
    <w:rsid w:val="00CB4299"/>
    <w:rsid w:val="00CD2DEB"/>
    <w:rsid w:val="00CD73A6"/>
    <w:rsid w:val="00CE71B2"/>
    <w:rsid w:val="00D240E6"/>
    <w:rsid w:val="00D2635E"/>
    <w:rsid w:val="00D45D31"/>
    <w:rsid w:val="00D538B4"/>
    <w:rsid w:val="00D57489"/>
    <w:rsid w:val="00D82BEF"/>
    <w:rsid w:val="00DA4F94"/>
    <w:rsid w:val="00DB399B"/>
    <w:rsid w:val="00DB4E2F"/>
    <w:rsid w:val="00DE18A3"/>
    <w:rsid w:val="00DF5F03"/>
    <w:rsid w:val="00E524EC"/>
    <w:rsid w:val="00E5497C"/>
    <w:rsid w:val="00E914FE"/>
    <w:rsid w:val="00E97A62"/>
    <w:rsid w:val="00EA7562"/>
    <w:rsid w:val="00EE06A1"/>
    <w:rsid w:val="00EE3F67"/>
    <w:rsid w:val="00F03262"/>
    <w:rsid w:val="00F05D97"/>
    <w:rsid w:val="00F11522"/>
    <w:rsid w:val="00F41325"/>
    <w:rsid w:val="00F53957"/>
    <w:rsid w:val="00F73CC8"/>
    <w:rsid w:val="00F76C5A"/>
    <w:rsid w:val="00F77DEB"/>
    <w:rsid w:val="00F93E7C"/>
    <w:rsid w:val="00F95C65"/>
    <w:rsid w:val="00F97C55"/>
    <w:rsid w:val="00FA3F26"/>
    <w:rsid w:val="00FA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rPr>
  </w:style>
  <w:style w:type="paragraph" w:styleId="Heading1">
    <w:name w:val="heading 1"/>
    <w:aliases w:val="h1"/>
    <w:basedOn w:val="Normal"/>
    <w:next w:val="Heading2"/>
    <w:qFormat/>
    <w:pPr>
      <w:spacing w:before="240"/>
      <w:ind w:left="720" w:hanging="720"/>
      <w:outlineLvl w:val="0"/>
    </w:pPr>
    <w:rPr>
      <w:color w:val="0000FF"/>
    </w:rPr>
  </w:style>
  <w:style w:type="paragraph" w:styleId="Heading2">
    <w:name w:val="heading 2"/>
    <w:aliases w:val="h2"/>
    <w:basedOn w:val="Normal"/>
    <w:qFormat/>
    <w:pPr>
      <w:spacing w:before="240"/>
      <w:ind w:left="1440" w:hanging="720"/>
      <w:outlineLvl w:val="1"/>
    </w:pPr>
    <w:rPr>
      <w:color w:val="0000FF"/>
    </w:rPr>
  </w:style>
  <w:style w:type="paragraph" w:styleId="Heading3">
    <w:name w:val="heading 3"/>
    <w:aliases w:val="h3"/>
    <w:basedOn w:val="Normal"/>
    <w:qFormat/>
    <w:pPr>
      <w:spacing w:before="240"/>
      <w:ind w:left="2160" w:hanging="720"/>
      <w:outlineLvl w:val="2"/>
    </w:pPr>
    <w:rPr>
      <w:color w:val="0000FF"/>
    </w:rPr>
  </w:style>
  <w:style w:type="paragraph" w:styleId="Heading4">
    <w:name w:val="heading 4"/>
    <w:aliases w:val="h4"/>
    <w:basedOn w:val="Normal"/>
    <w:qFormat/>
    <w:pPr>
      <w:spacing w:before="240"/>
      <w:ind w:left="2880" w:hanging="720"/>
      <w:outlineLvl w:val="3"/>
    </w:pPr>
    <w:rPr>
      <w:color w:val="0000FF"/>
    </w:rPr>
  </w:style>
  <w:style w:type="paragraph" w:styleId="Heading5">
    <w:name w:val="heading 5"/>
    <w:aliases w:val="h5"/>
    <w:basedOn w:val="Normal"/>
    <w:qFormat/>
    <w:pPr>
      <w:spacing w:before="240"/>
      <w:ind w:left="3600" w:hanging="720"/>
      <w:outlineLvl w:val="4"/>
    </w:pPr>
    <w:rPr>
      <w:color w:val="0000FF"/>
    </w:rPr>
  </w:style>
  <w:style w:type="paragraph" w:styleId="Heading6">
    <w:name w:val="heading 6"/>
    <w:aliases w:val="h6"/>
    <w:basedOn w:val="Normal"/>
    <w:qFormat/>
    <w:pPr>
      <w:spacing w:before="240"/>
      <w:ind w:left="4320" w:hanging="720"/>
      <w:outlineLvl w:val="5"/>
    </w:pPr>
    <w:rPr>
      <w:color w:val="0000FF"/>
    </w:rPr>
  </w:style>
  <w:style w:type="paragraph" w:styleId="Heading7">
    <w:name w:val="heading 7"/>
    <w:aliases w:val="h7"/>
    <w:basedOn w:val="Normal"/>
    <w:qFormat/>
    <w:pPr>
      <w:spacing w:before="240"/>
      <w:ind w:left="5040" w:hanging="720"/>
      <w:outlineLvl w:val="6"/>
    </w:pPr>
    <w:rPr>
      <w:color w:val="0000FF"/>
    </w:rPr>
  </w:style>
  <w:style w:type="paragraph" w:styleId="Heading8">
    <w:name w:val="heading 8"/>
    <w:aliases w:val="h8"/>
    <w:basedOn w:val="Normal"/>
    <w:qFormat/>
    <w:pPr>
      <w:spacing w:before="240"/>
      <w:ind w:left="5760" w:hanging="720"/>
      <w:outlineLvl w:val="7"/>
    </w:pPr>
    <w:rPr>
      <w:color w:val="0000FF"/>
    </w:rPr>
  </w:style>
  <w:style w:type="paragraph" w:styleId="Heading9">
    <w:name w:val="heading 9"/>
    <w:aliases w:val="h9"/>
    <w:basedOn w:val="Normal"/>
    <w:qFormat/>
    <w:pPr>
      <w:spacing w:before="240"/>
      <w:ind w:left="6480" w:hanging="720"/>
      <w:outlineLvl w:val="8"/>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Indent">
    <w:name w:val="Normal Indent"/>
    <w:basedOn w:val="Normal"/>
    <w:pPr>
      <w:spacing w:before="240"/>
      <w:ind w:firstLine="1440"/>
    </w:pPr>
  </w:style>
  <w:style w:type="paragraph" w:styleId="FootnoteText">
    <w:name w:val="footnote text"/>
    <w:basedOn w:val="Normal"/>
    <w:semiHidden/>
    <w:pPr>
      <w:widowControl w:val="0"/>
      <w:tabs>
        <w:tab w:val="left" w:pos="360"/>
      </w:tabs>
    </w:pPr>
  </w:style>
  <w:style w:type="paragraph" w:styleId="TOC1">
    <w:name w:val="toc 1"/>
    <w:basedOn w:val="Normal"/>
    <w:next w:val="Normal"/>
    <w:semiHidden/>
    <w:pPr>
      <w:tabs>
        <w:tab w:val="right" w:leader="dot" w:pos="9072"/>
      </w:tabs>
      <w:spacing w:before="240"/>
      <w:ind w:left="720" w:right="1008" w:hanging="720"/>
    </w:pPr>
  </w:style>
  <w:style w:type="paragraph" w:styleId="TOAHeading">
    <w:name w:val="toa heading"/>
    <w:basedOn w:val="Normal"/>
    <w:next w:val="Normal"/>
    <w:semiHidden/>
    <w:pPr>
      <w:spacing w:before="240"/>
    </w:pPr>
    <w:rPr>
      <w:b/>
      <w:u w:val="single"/>
    </w:rPr>
  </w:style>
  <w:style w:type="character" w:customStyle="1" w:styleId="FooterTxt">
    <w:name w:val="FooterTxt"/>
    <w:rPr>
      <w:rFonts w:ascii="Times New Roman" w:hAnsi="Times New Roman" w:cs="Times New Roman"/>
      <w:dstrike w:val="0"/>
      <w:sz w:val="16"/>
      <w:vertAlign w:val="baseline"/>
    </w:rPr>
  </w:style>
  <w:style w:type="paragraph" w:customStyle="1" w:styleId="Center">
    <w:name w:val="Center"/>
    <w:aliases w:val="c"/>
    <w:basedOn w:val="Normal"/>
    <w:next w:val="Body"/>
    <w:pPr>
      <w:keepNext/>
      <w:keepLines/>
      <w:suppressAutoHyphens/>
      <w:spacing w:before="240"/>
      <w:jc w:val="center"/>
    </w:pPr>
  </w:style>
  <w:style w:type="paragraph" w:customStyle="1" w:styleId="Body">
    <w:name w:val="Body"/>
    <w:aliases w:val="b"/>
    <w:basedOn w:val="Normal"/>
    <w:pPr>
      <w:suppressAutoHyphens/>
      <w:spacing w:before="240"/>
      <w:ind w:firstLine="720"/>
    </w:pPr>
  </w:style>
  <w:style w:type="paragraph" w:customStyle="1" w:styleId="FlushLeft">
    <w:name w:val="Flush Left"/>
    <w:aliases w:val="fl"/>
    <w:basedOn w:val="Normal"/>
    <w:pPr>
      <w:spacing w:before="240"/>
    </w:pPr>
  </w:style>
  <w:style w:type="paragraph" w:customStyle="1" w:styleId="BodyDouble">
    <w:name w:val="Body Double"/>
    <w:aliases w:val="bd"/>
    <w:basedOn w:val="Body"/>
    <w:pPr>
      <w:spacing w:before="0" w:line="480" w:lineRule="auto"/>
    </w:pPr>
  </w:style>
  <w:style w:type="paragraph" w:customStyle="1" w:styleId="Table">
    <w:name w:val="Table"/>
    <w:basedOn w:val="Normal"/>
    <w:pPr>
      <w:spacing w:before="40" w:after="40"/>
    </w:pPr>
  </w:style>
  <w:style w:type="paragraph" w:styleId="TOC2">
    <w:name w:val="toc 2"/>
    <w:basedOn w:val="Normal"/>
    <w:next w:val="Normal"/>
    <w:semiHidden/>
    <w:pPr>
      <w:tabs>
        <w:tab w:val="right" w:leader="dot" w:pos="9072"/>
      </w:tabs>
      <w:spacing w:before="240"/>
      <w:ind w:left="720" w:right="1008"/>
    </w:pPr>
  </w:style>
  <w:style w:type="paragraph" w:styleId="TOC3">
    <w:name w:val="toc 3"/>
    <w:basedOn w:val="Normal"/>
    <w:next w:val="Normal"/>
    <w:semiHidden/>
    <w:pPr>
      <w:tabs>
        <w:tab w:val="right" w:leader="dot" w:pos="9072"/>
      </w:tabs>
      <w:spacing w:before="240"/>
      <w:ind w:left="720" w:right="1008" w:firstLine="720"/>
    </w:pPr>
  </w:style>
  <w:style w:type="paragraph" w:styleId="TOC4">
    <w:name w:val="toc 4"/>
    <w:basedOn w:val="Normal"/>
    <w:next w:val="Normal"/>
    <w:semiHidden/>
    <w:pPr>
      <w:tabs>
        <w:tab w:val="right" w:leader="dot" w:pos="9072"/>
      </w:tabs>
      <w:spacing w:before="240"/>
      <w:ind w:left="2160" w:right="1008"/>
    </w:pPr>
  </w:style>
  <w:style w:type="paragraph" w:styleId="TOC5">
    <w:name w:val="toc 5"/>
    <w:basedOn w:val="Normal"/>
    <w:next w:val="Normal"/>
    <w:semiHidden/>
    <w:pPr>
      <w:tabs>
        <w:tab w:val="right" w:leader="dot" w:pos="9072"/>
      </w:tabs>
      <w:spacing w:before="240"/>
      <w:ind w:left="2880" w:right="1008"/>
    </w:pPr>
  </w:style>
  <w:style w:type="paragraph" w:styleId="TOC6">
    <w:name w:val="toc 6"/>
    <w:basedOn w:val="Normal"/>
    <w:next w:val="Normal"/>
    <w:semiHidden/>
    <w:pPr>
      <w:tabs>
        <w:tab w:val="right" w:leader="dot" w:pos="9072"/>
      </w:tabs>
      <w:spacing w:before="240"/>
      <w:ind w:left="3600" w:right="1008"/>
    </w:pPr>
  </w:style>
  <w:style w:type="paragraph" w:styleId="TOC7">
    <w:name w:val="toc 7"/>
    <w:basedOn w:val="Normal"/>
    <w:next w:val="Normal"/>
    <w:semiHidden/>
    <w:pPr>
      <w:tabs>
        <w:tab w:val="right" w:leader="dot" w:pos="9072"/>
      </w:tabs>
      <w:spacing w:before="240"/>
      <w:ind w:left="4320" w:right="1008"/>
    </w:pPr>
  </w:style>
  <w:style w:type="paragraph" w:styleId="TOC8">
    <w:name w:val="toc 8"/>
    <w:basedOn w:val="Normal"/>
    <w:next w:val="Normal"/>
    <w:semiHidden/>
    <w:pPr>
      <w:tabs>
        <w:tab w:val="right" w:leader="dot" w:pos="9072"/>
      </w:tabs>
      <w:spacing w:before="240"/>
      <w:ind w:left="5040" w:right="1008"/>
    </w:pPr>
  </w:style>
  <w:style w:type="paragraph" w:styleId="TOC9">
    <w:name w:val="toc 9"/>
    <w:basedOn w:val="Normal"/>
    <w:next w:val="Normal"/>
    <w:semiHidden/>
    <w:pPr>
      <w:tabs>
        <w:tab w:val="right" w:leader="dot" w:pos="9072"/>
      </w:tabs>
      <w:spacing w:before="240"/>
      <w:ind w:left="5760" w:right="1008"/>
    </w:pPr>
  </w:style>
  <w:style w:type="character" w:customStyle="1" w:styleId="NonTocText">
    <w:name w:val="Non Toc Text"/>
    <w:rPr>
      <w:color w:val="000000"/>
    </w:rPr>
  </w:style>
  <w:style w:type="character" w:styleId="FootnoteReference">
    <w:name w:val="footnote reference"/>
    <w:semiHidden/>
    <w:rPr>
      <w:vertAlign w:val="superscript"/>
    </w:rPr>
  </w:style>
  <w:style w:type="paragraph" w:customStyle="1" w:styleId="Hanging">
    <w:name w:val="Hanging"/>
    <w:aliases w:val="h"/>
    <w:basedOn w:val="Normal"/>
    <w:pPr>
      <w:spacing w:before="240"/>
      <w:ind w:left="720" w:hanging="720"/>
    </w:pPr>
  </w:style>
  <w:style w:type="paragraph" w:styleId="BlockText">
    <w:name w:val="Block Text"/>
    <w:basedOn w:val="Normal"/>
    <w:pPr>
      <w:spacing w:before="120"/>
      <w:ind w:left="1440" w:right="1440"/>
    </w:pPr>
  </w:style>
  <w:style w:type="paragraph" w:customStyle="1" w:styleId="Indent1">
    <w:name w:val="Indent 1&quot;"/>
    <w:aliases w:val="i1"/>
    <w:basedOn w:val="Normal"/>
    <w:pPr>
      <w:spacing w:before="240"/>
      <w:ind w:left="1440"/>
    </w:pPr>
  </w:style>
  <w:style w:type="paragraph" w:customStyle="1" w:styleId="IndentBodyDouble">
    <w:name w:val="Indent Body Double"/>
    <w:aliases w:val="ibd"/>
    <w:basedOn w:val="IndentBody"/>
    <w:pPr>
      <w:spacing w:before="0" w:line="480" w:lineRule="auto"/>
    </w:pPr>
  </w:style>
  <w:style w:type="paragraph" w:customStyle="1" w:styleId="IndentBody">
    <w:name w:val="Indent Body"/>
    <w:aliases w:val="ib"/>
    <w:basedOn w:val="Normal"/>
    <w:pPr>
      <w:spacing w:before="240"/>
      <w:ind w:left="720" w:firstLine="720"/>
    </w:pPr>
  </w:style>
  <w:style w:type="paragraph" w:customStyle="1" w:styleId="Indent1Body">
    <w:name w:val="Indent 1&quot; Body"/>
    <w:aliases w:val="i1b"/>
    <w:basedOn w:val="Normal"/>
    <w:pPr>
      <w:spacing w:before="240"/>
      <w:ind w:left="1440" w:firstLine="720"/>
    </w:pPr>
  </w:style>
  <w:style w:type="paragraph" w:customStyle="1" w:styleId="FlushLeftDouble">
    <w:name w:val="Flush Left Double"/>
    <w:aliases w:val="fld"/>
    <w:basedOn w:val="FlushLeft"/>
    <w:pPr>
      <w:spacing w:before="0" w:line="480" w:lineRule="auto"/>
    </w:pPr>
  </w:style>
  <w:style w:type="paragraph" w:customStyle="1" w:styleId="HangingIndent1Double">
    <w:name w:val="Hanging Indent 1&quot; Double"/>
    <w:aliases w:val="hi1d"/>
    <w:basedOn w:val="HangingDouble"/>
    <w:pPr>
      <w:ind w:left="1440" w:hanging="1440"/>
    </w:pPr>
  </w:style>
  <w:style w:type="paragraph" w:customStyle="1" w:styleId="HangingDouble">
    <w:name w:val="Hanging Double"/>
    <w:aliases w:val="hd"/>
    <w:basedOn w:val="Hanging"/>
    <w:pPr>
      <w:spacing w:before="0" w:line="480" w:lineRule="auto"/>
    </w:pPr>
  </w:style>
  <w:style w:type="paragraph" w:styleId="TableofAuthorities">
    <w:name w:val="table of authorities"/>
    <w:basedOn w:val="Normal"/>
    <w:next w:val="Normal"/>
    <w:autoRedefine/>
    <w:semiHidden/>
    <w:pPr>
      <w:tabs>
        <w:tab w:val="right" w:leader="dot" w:pos="8928"/>
      </w:tabs>
      <w:ind w:left="720" w:right="1008" w:hanging="720"/>
    </w:pPr>
  </w:style>
  <w:style w:type="character" w:styleId="LineNumber">
    <w:name w:val="line number"/>
    <w:basedOn w:val="DefaultParagraphFont"/>
  </w:style>
  <w:style w:type="paragraph" w:customStyle="1" w:styleId="CenterDouble">
    <w:name w:val="Center Double"/>
    <w:aliases w:val="cd"/>
    <w:basedOn w:val="Center"/>
    <w:next w:val="BodyDouble"/>
    <w:pPr>
      <w:spacing w:before="0" w:line="480" w:lineRule="auto"/>
    </w:pPr>
  </w:style>
  <w:style w:type="paragraph" w:customStyle="1" w:styleId="Indent1Double">
    <w:name w:val="Indent 1&quot; Double"/>
    <w:aliases w:val="i1d"/>
    <w:basedOn w:val="Indent1"/>
    <w:pPr>
      <w:spacing w:before="0" w:line="480" w:lineRule="auto"/>
    </w:pPr>
  </w:style>
  <w:style w:type="paragraph" w:customStyle="1" w:styleId="Indent">
    <w:name w:val="Indent"/>
    <w:aliases w:val="i"/>
    <w:basedOn w:val="Normal"/>
    <w:pPr>
      <w:spacing w:before="240"/>
      <w:ind w:left="720"/>
    </w:pPr>
  </w:style>
  <w:style w:type="paragraph" w:customStyle="1" w:styleId="IndentDouble">
    <w:name w:val="Indent Double"/>
    <w:aliases w:val="id"/>
    <w:basedOn w:val="Indent"/>
    <w:pPr>
      <w:spacing w:before="0" w:line="480" w:lineRule="auto"/>
    </w:pPr>
  </w:style>
  <w:style w:type="paragraph" w:customStyle="1" w:styleId="IndentHanging">
    <w:name w:val="Indent Hanging"/>
    <w:aliases w:val="ih"/>
    <w:basedOn w:val="Normal"/>
    <w:pPr>
      <w:spacing w:before="240"/>
      <w:ind w:left="1440" w:hanging="720"/>
    </w:pPr>
  </w:style>
  <w:style w:type="paragraph" w:customStyle="1" w:styleId="IndentHangingDouble">
    <w:name w:val="Indent Hanging Double"/>
    <w:aliases w:val="ihd"/>
    <w:basedOn w:val="IndentHanging"/>
    <w:pPr>
      <w:spacing w:before="0" w:line="480" w:lineRule="auto"/>
    </w:pPr>
  </w:style>
  <w:style w:type="paragraph" w:customStyle="1" w:styleId="Indent1BodyDouble">
    <w:name w:val="Indent 1&quot; Body Double"/>
    <w:aliases w:val="i1bd"/>
    <w:basedOn w:val="Indent1Body"/>
    <w:pPr>
      <w:spacing w:before="0" w:line="480" w:lineRule="auto"/>
    </w:pPr>
  </w:style>
  <w:style w:type="paragraph" w:customStyle="1" w:styleId="HangingIndent1">
    <w:name w:val="Hanging Indent 1&quot;"/>
    <w:aliases w:val="hi1"/>
    <w:basedOn w:val="Hanging"/>
    <w:pPr>
      <w:ind w:left="1440" w:hanging="1440"/>
    </w:pPr>
  </w:style>
  <w:style w:type="paragraph" w:styleId="ListBullet">
    <w:name w:val="List Bullet"/>
    <w:aliases w:val="*"/>
    <w:basedOn w:val="Normal"/>
    <w:autoRedefine/>
    <w:pPr>
      <w:numPr>
        <w:numId w:val="1"/>
      </w:numPr>
    </w:pPr>
  </w:style>
  <w:style w:type="paragraph" w:customStyle="1" w:styleId="Body1">
    <w:name w:val="Body 1&quot;"/>
    <w:aliases w:val="b1"/>
    <w:basedOn w:val="Normal"/>
    <w:pPr>
      <w:spacing w:before="240"/>
      <w:ind w:firstLine="1440"/>
    </w:pPr>
  </w:style>
  <w:style w:type="paragraph" w:customStyle="1" w:styleId="Body1Double">
    <w:name w:val="Body 1&quot; Double"/>
    <w:aliases w:val="b1d"/>
    <w:basedOn w:val="Body1"/>
    <w:pPr>
      <w:spacing w:before="0" w:line="480" w:lineRule="auto"/>
    </w:pPr>
  </w:style>
  <w:style w:type="paragraph" w:customStyle="1" w:styleId="Auto1">
    <w:name w:val="Auto 1"/>
    <w:aliases w:val="a1"/>
    <w:basedOn w:val="Normal"/>
    <w:pPr>
      <w:spacing w:before="240"/>
    </w:pPr>
  </w:style>
  <w:style w:type="paragraph" w:customStyle="1" w:styleId="Indent1Hanging">
    <w:name w:val="Indent 1&quot; Hanging"/>
    <w:aliases w:val="i1h"/>
    <w:basedOn w:val="Normal"/>
    <w:pPr>
      <w:spacing w:before="240"/>
      <w:ind w:left="2160" w:hanging="720"/>
    </w:pPr>
  </w:style>
  <w:style w:type="paragraph" w:customStyle="1" w:styleId="Indent1HangingDouble">
    <w:name w:val="Indent 1&quot; Hanging Double"/>
    <w:aliases w:val="i1hd"/>
    <w:basedOn w:val="Indent1Hanging"/>
    <w:pPr>
      <w:spacing w:before="0" w:line="480" w:lineRule="auto"/>
    </w:pPr>
  </w:style>
  <w:style w:type="paragraph" w:customStyle="1" w:styleId="Auto2">
    <w:name w:val="Auto 2"/>
    <w:aliases w:val="a2"/>
    <w:basedOn w:val="Normal"/>
    <w:pPr>
      <w:tabs>
        <w:tab w:val="left" w:pos="2160"/>
      </w:tabs>
      <w:spacing w:before="240"/>
    </w:pPr>
  </w:style>
  <w:style w:type="paragraph" w:customStyle="1" w:styleId="Auto3">
    <w:name w:val="Auto 3"/>
    <w:aliases w:val="a3"/>
    <w:basedOn w:val="Normal"/>
    <w:pPr>
      <w:spacing w:before="240"/>
    </w:pPr>
  </w:style>
  <w:style w:type="paragraph" w:customStyle="1" w:styleId="Auto4">
    <w:name w:val="Auto 4"/>
    <w:aliases w:val="a4"/>
    <w:basedOn w:val="Normal"/>
    <w:pPr>
      <w:tabs>
        <w:tab w:val="left" w:pos="3600"/>
      </w:tabs>
      <w:spacing w:before="240"/>
    </w:pPr>
  </w:style>
  <w:style w:type="paragraph" w:customStyle="1" w:styleId="Auto5">
    <w:name w:val="Auto 5"/>
    <w:aliases w:val="a5"/>
    <w:basedOn w:val="Normal"/>
    <w:pPr>
      <w:tabs>
        <w:tab w:val="left" w:pos="4320"/>
      </w:tabs>
      <w:spacing w:before="240"/>
    </w:pPr>
  </w:style>
  <w:style w:type="paragraph" w:customStyle="1" w:styleId="Auto6">
    <w:name w:val="Auto 6"/>
    <w:aliases w:val="a6"/>
    <w:basedOn w:val="Normal"/>
    <w:pPr>
      <w:spacing w:before="240"/>
    </w:pPr>
  </w:style>
  <w:style w:type="paragraph" w:customStyle="1" w:styleId="Auto7">
    <w:name w:val="Auto 7"/>
    <w:aliases w:val="a7"/>
    <w:basedOn w:val="Normal"/>
    <w:pPr>
      <w:spacing w:before="240"/>
    </w:pPr>
  </w:style>
  <w:style w:type="paragraph" w:customStyle="1" w:styleId="Auto8">
    <w:name w:val="Auto 8"/>
    <w:aliases w:val="a8"/>
    <w:basedOn w:val="Normal"/>
    <w:pPr>
      <w:spacing w:before="240"/>
    </w:pPr>
  </w:style>
  <w:style w:type="paragraph" w:customStyle="1" w:styleId="Auto9">
    <w:name w:val="Auto 9"/>
    <w:aliases w:val="a9"/>
    <w:basedOn w:val="Normal"/>
    <w:pPr>
      <w:spacing w:before="240"/>
    </w:pPr>
  </w:style>
  <w:style w:type="paragraph" w:customStyle="1" w:styleId="Quote1">
    <w:name w:val="Quote 1&quot;"/>
    <w:aliases w:val="q1"/>
    <w:basedOn w:val="Normal"/>
    <w:pPr>
      <w:spacing w:before="240"/>
      <w:ind w:left="1440" w:right="1440"/>
    </w:pPr>
  </w:style>
  <w:style w:type="paragraph" w:customStyle="1" w:styleId="Quote1Double">
    <w:name w:val="Quote 1&quot; Double"/>
    <w:aliases w:val="q1d"/>
    <w:basedOn w:val="Quote1"/>
    <w:pPr>
      <w:spacing w:before="0" w:line="480" w:lineRule="auto"/>
    </w:pPr>
  </w:style>
  <w:style w:type="paragraph" w:customStyle="1" w:styleId="Quote10">
    <w:name w:val="Quote1"/>
    <w:aliases w:val="q"/>
    <w:basedOn w:val="Normal"/>
    <w:pPr>
      <w:spacing w:before="240"/>
      <w:ind w:left="720" w:right="720"/>
    </w:pPr>
  </w:style>
  <w:style w:type="paragraph" w:customStyle="1" w:styleId="QuoteDouble">
    <w:name w:val="Quote Double"/>
    <w:aliases w:val="qd"/>
    <w:basedOn w:val="Quote10"/>
    <w:pPr>
      <w:spacing w:before="0" w:line="480" w:lineRule="auto"/>
    </w:pPr>
  </w:style>
  <w:style w:type="paragraph" w:styleId="Caption">
    <w:name w:val="caption"/>
    <w:basedOn w:val="Normal"/>
    <w:next w:val="Normal"/>
    <w:qFormat/>
    <w:pPr>
      <w:spacing w:before="120" w:after="120"/>
    </w:pPr>
    <w:rPr>
      <w:b/>
    </w:rPr>
  </w:style>
  <w:style w:type="paragraph" w:styleId="Closing">
    <w:name w:val="Closing"/>
    <w:basedOn w:val="Normal"/>
    <w:pPr>
      <w:ind w:left="4320"/>
      <w:jc w:val="left"/>
    </w:pPr>
  </w:style>
  <w:style w:type="paragraph" w:styleId="CommentText">
    <w:name w:val="annotation text"/>
    <w:basedOn w:val="Normal"/>
    <w:link w:val="CommentTextChar1"/>
    <w:uiPriority w:val="99"/>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jc w:val="left"/>
    </w:pPr>
    <w:rPr>
      <w:rFonts w:ascii="Arial" w:hAnsi="Arial"/>
    </w:rPr>
  </w:style>
  <w:style w:type="paragraph" w:styleId="EnvelopeReturn">
    <w:name w:val="envelope return"/>
    <w:basedOn w:val="Normal"/>
    <w:pPr>
      <w:jc w:val="left"/>
    </w:pPr>
    <w:rPr>
      <w:rFonts w:ascii="Arial" w:hAnsi="Arial"/>
      <w:sz w:val="20"/>
    </w:rPr>
  </w:style>
  <w:style w:type="paragraph" w:styleId="Index1">
    <w:name w:val="index 1"/>
    <w:basedOn w:val="Normal"/>
    <w:next w:val="Normal"/>
    <w:autoRedefine/>
    <w:semiHidden/>
    <w:pPr>
      <w:tabs>
        <w:tab w:val="right" w:leader="dot" w:pos="9187"/>
      </w:tabs>
      <w:ind w:right="1440"/>
    </w:pPr>
  </w:style>
  <w:style w:type="paragraph" w:styleId="Index2">
    <w:name w:val="index 2"/>
    <w:basedOn w:val="Normal"/>
    <w:next w:val="Normal"/>
    <w:autoRedefine/>
    <w:semiHidden/>
    <w:pPr>
      <w:tabs>
        <w:tab w:val="right" w:leader="dot" w:pos="9187"/>
      </w:tabs>
      <w:ind w:left="245" w:right="1440"/>
    </w:pPr>
  </w:style>
  <w:style w:type="paragraph" w:styleId="Index3">
    <w:name w:val="index 3"/>
    <w:basedOn w:val="Normal"/>
    <w:next w:val="Normal"/>
    <w:autoRedefine/>
    <w:semiHidden/>
    <w:pPr>
      <w:tabs>
        <w:tab w:val="right" w:leader="dot" w:pos="9187"/>
      </w:tabs>
      <w:ind w:left="475" w:right="1440"/>
    </w:pPr>
  </w:style>
  <w:style w:type="paragraph" w:styleId="Index4">
    <w:name w:val="index 4"/>
    <w:basedOn w:val="Normal"/>
    <w:next w:val="Normal"/>
    <w:autoRedefine/>
    <w:semiHidden/>
    <w:pPr>
      <w:tabs>
        <w:tab w:val="right" w:leader="dot" w:pos="9187"/>
      </w:tabs>
      <w:ind w:left="720" w:right="1440"/>
    </w:pPr>
  </w:style>
  <w:style w:type="paragraph" w:styleId="Index5">
    <w:name w:val="index 5"/>
    <w:basedOn w:val="Normal"/>
    <w:next w:val="Normal"/>
    <w:autoRedefine/>
    <w:semiHidden/>
    <w:pPr>
      <w:tabs>
        <w:tab w:val="right" w:leader="dot" w:pos="9187"/>
      </w:tabs>
      <w:ind w:left="965" w:right="1440"/>
    </w:pPr>
  </w:style>
  <w:style w:type="paragraph" w:styleId="Index6">
    <w:name w:val="index 6"/>
    <w:basedOn w:val="Normal"/>
    <w:next w:val="Normal"/>
    <w:autoRedefine/>
    <w:semiHidden/>
    <w:pPr>
      <w:tabs>
        <w:tab w:val="right" w:leader="dot" w:pos="9187"/>
      </w:tabs>
      <w:ind w:left="1195" w:right="1440"/>
    </w:pPr>
  </w:style>
  <w:style w:type="paragraph" w:styleId="Index7">
    <w:name w:val="index 7"/>
    <w:basedOn w:val="Normal"/>
    <w:next w:val="Normal"/>
    <w:autoRedefine/>
    <w:semiHidden/>
    <w:pPr>
      <w:tabs>
        <w:tab w:val="right" w:leader="dot" w:pos="9187"/>
      </w:tabs>
      <w:ind w:left="1440" w:right="1440"/>
    </w:pPr>
  </w:style>
  <w:style w:type="paragraph" w:styleId="Index8">
    <w:name w:val="index 8"/>
    <w:basedOn w:val="Normal"/>
    <w:next w:val="Normal"/>
    <w:autoRedefine/>
    <w:semiHidden/>
    <w:pPr>
      <w:tabs>
        <w:tab w:val="right" w:leader="dot" w:pos="9187"/>
      </w:tabs>
      <w:ind w:left="1685" w:right="1440"/>
    </w:pPr>
  </w:style>
  <w:style w:type="paragraph" w:styleId="Index9">
    <w:name w:val="index 9"/>
    <w:basedOn w:val="Normal"/>
    <w:next w:val="Normal"/>
    <w:autoRedefine/>
    <w:semiHidden/>
    <w:pPr>
      <w:tabs>
        <w:tab w:val="right" w:leader="dot" w:pos="9187"/>
      </w:tabs>
      <w:ind w:left="1915" w:right="14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before="120"/>
      <w:ind w:left="360"/>
    </w:pPr>
  </w:style>
  <w:style w:type="paragraph" w:styleId="ListContinue2">
    <w:name w:val="List Continue 2"/>
    <w:basedOn w:val="Normal"/>
    <w:pPr>
      <w:spacing w:before="120"/>
      <w:ind w:left="720"/>
    </w:pPr>
  </w:style>
  <w:style w:type="paragraph" w:styleId="ListContinue3">
    <w:name w:val="List Continue 3"/>
    <w:basedOn w:val="Normal"/>
    <w:pPr>
      <w:spacing w:before="120"/>
      <w:ind w:left="1080"/>
    </w:pPr>
  </w:style>
  <w:style w:type="paragraph" w:styleId="ListContinue4">
    <w:name w:val="List Continue 4"/>
    <w:basedOn w:val="Normal"/>
    <w:pPr>
      <w:spacing w:before="120"/>
      <w:ind w:left="1440"/>
    </w:pPr>
  </w:style>
  <w:style w:type="paragraph" w:styleId="ListContinue5">
    <w:name w:val="List Continue 5"/>
    <w:basedOn w:val="Normal"/>
    <w:pPr>
      <w:spacing w:before="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before="60"/>
      <w:jc w:val="center"/>
      <w:outlineLvl w:val="1"/>
    </w:pPr>
    <w:rPr>
      <w:rFonts w:ascii="Arial" w:hAnsi="Arial"/>
    </w:r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CenterBoldUnd">
    <w:name w:val="Center Bold Und"/>
    <w:aliases w:val="cbu"/>
    <w:basedOn w:val="Center"/>
    <w:next w:val="Body"/>
    <w:rPr>
      <w:b/>
      <w:u w:val="single"/>
    </w:rPr>
  </w:style>
  <w:style w:type="paragraph" w:customStyle="1" w:styleId="CenterBold">
    <w:name w:val="Center Bold"/>
    <w:aliases w:val="cb"/>
    <w:basedOn w:val="Center"/>
    <w:next w:val="Body"/>
    <w:rPr>
      <w:b/>
    </w:rPr>
  </w:style>
  <w:style w:type="paragraph" w:customStyle="1" w:styleId="CenterDoubleBoldUnd">
    <w:name w:val="Center Double Bold Und"/>
    <w:aliases w:val="cdbu"/>
    <w:basedOn w:val="CenterDouble"/>
    <w:next w:val="BodyDouble"/>
    <w:rPr>
      <w:b/>
      <w:u w:val="single"/>
    </w:rPr>
  </w:style>
  <w:style w:type="paragraph" w:customStyle="1" w:styleId="CenterDoubleBold">
    <w:name w:val="Center Double Bold"/>
    <w:aliases w:val="cdb"/>
    <w:basedOn w:val="CenterDouble"/>
    <w:next w:val="BodyDouble"/>
    <w:rPr>
      <w:b/>
    </w:rPr>
  </w:style>
  <w:style w:type="paragraph" w:customStyle="1" w:styleId="CenterDoubleUnd">
    <w:name w:val="Center Double Und"/>
    <w:aliases w:val="cdu"/>
    <w:basedOn w:val="CenterDouble"/>
    <w:next w:val="BodyDouble"/>
    <w:rPr>
      <w:u w:val="single"/>
    </w:rPr>
  </w:style>
  <w:style w:type="paragraph" w:customStyle="1" w:styleId="CenterUnd">
    <w:name w:val="Center Und"/>
    <w:aliases w:val="cu"/>
    <w:basedOn w:val="Center"/>
    <w:next w:val="Body"/>
    <w:rPr>
      <w:u w:val="single"/>
    </w:rPr>
  </w:style>
  <w:style w:type="paragraph" w:customStyle="1" w:styleId="HeadingTitle">
    <w:name w:val="Heading Title"/>
    <w:aliases w:val="ht"/>
    <w:basedOn w:val="Normal"/>
    <w:next w:val="Normal"/>
    <w:pPr>
      <w:keepNext/>
      <w:keepLines/>
      <w:spacing w:after="240"/>
      <w:jc w:val="center"/>
    </w:pPr>
    <w:rPr>
      <w:b/>
      <w:u w:val="single"/>
    </w:rPr>
  </w:style>
  <w:style w:type="paragraph" w:customStyle="1" w:styleId="Plain">
    <w:name w:val="Plain"/>
    <w:rPr>
      <w:sz w:val="24"/>
    </w:rPr>
  </w:style>
  <w:style w:type="paragraph" w:customStyle="1" w:styleId="zExhibitName">
    <w:name w:val="zExhibitName"/>
    <w:aliases w:val="e"/>
    <w:basedOn w:val="Normal"/>
    <w:next w:val="Body"/>
    <w:pPr>
      <w:keepNext/>
      <w:keepLines/>
      <w:spacing w:after="240"/>
      <w:jc w:val="center"/>
    </w:pPr>
    <w:rPr>
      <w:b/>
      <w:u w:val="single"/>
    </w:rPr>
  </w:style>
  <w:style w:type="paragraph" w:customStyle="1" w:styleId="ExhibitList">
    <w:name w:val="Exhibit List"/>
    <w:aliases w:val="el"/>
    <w:basedOn w:val="Normal"/>
    <w:pPr>
      <w:ind w:left="2160" w:hanging="2160"/>
    </w:pPr>
  </w:style>
  <w:style w:type="paragraph" w:customStyle="1" w:styleId="ExhibitTitle">
    <w:name w:val="Exhibit Title"/>
    <w:aliases w:val="et"/>
    <w:basedOn w:val="Normal"/>
    <w:pPr>
      <w:spacing w:before="240" w:after="240"/>
      <w:jc w:val="center"/>
    </w:pPr>
    <w:rPr>
      <w:u w:val="single"/>
    </w:rPr>
  </w:style>
  <w:style w:type="paragraph" w:customStyle="1" w:styleId="zRRB">
    <w:name w:val="zRRB"/>
    <w:basedOn w:val="Normal"/>
    <w:pPr>
      <w:jc w:val="left"/>
    </w:pPr>
    <w:rPr>
      <w:sz w:val="20"/>
    </w:rPr>
  </w:style>
  <w:style w:type="paragraph" w:customStyle="1" w:styleId="zRRBBold">
    <w:name w:val="zRRBBold"/>
    <w:basedOn w:val="Normal"/>
    <w:pPr>
      <w:jc w:val="center"/>
    </w:pPr>
    <w:rPr>
      <w:rFonts w:ascii="Courier New" w:hAnsi="Courier New" w:cs="Courier New"/>
      <w:b/>
      <w:bCs/>
      <w:sz w:val="16"/>
    </w:rPr>
  </w:style>
  <w:style w:type="paragraph" w:customStyle="1" w:styleId="zProofList">
    <w:name w:val="zProofList"/>
    <w:basedOn w:val="Normal"/>
  </w:style>
  <w:style w:type="paragraph" w:styleId="BalloonText">
    <w:name w:val="Balloon Text"/>
    <w:basedOn w:val="Normal"/>
    <w:link w:val="BalloonTextChar"/>
    <w:uiPriority w:val="99"/>
    <w:semiHidden/>
    <w:rPr>
      <w:rFonts w:ascii="Tahoma" w:hAnsi="Tahoma" w:cs="Tahoma"/>
      <w:sz w:val="16"/>
      <w:szCs w:val="16"/>
    </w:rPr>
  </w:style>
  <w:style w:type="paragraph" w:customStyle="1" w:styleId="incr1">
    <w:name w:val="incr1"/>
    <w:basedOn w:val="Normal"/>
    <w:pPr>
      <w:spacing w:before="48"/>
      <w:ind w:left="1440"/>
      <w:jc w:val="left"/>
    </w:pPr>
    <w:rPr>
      <w:rFonts w:ascii="Arial" w:hAnsi="Arial" w:cs="Arial"/>
      <w:b/>
      <w:bCs/>
      <w:color w:val="000000"/>
      <w:sz w:val="18"/>
      <w:szCs w:val="18"/>
    </w:rPr>
  </w:style>
  <w:style w:type="paragraph" w:customStyle="1" w:styleId="content2">
    <w:name w:val="content2"/>
    <w:basedOn w:val="Normal"/>
    <w:pPr>
      <w:spacing w:before="48"/>
      <w:ind w:left="2160"/>
      <w:jc w:val="left"/>
    </w:pPr>
    <w:rPr>
      <w:rFonts w:ascii="Arial" w:hAnsi="Arial" w:cs="Arial"/>
      <w:color w:val="000000"/>
      <w:sz w:val="18"/>
      <w:szCs w:val="18"/>
    </w:rPr>
  </w:style>
  <w:style w:type="paragraph" w:customStyle="1" w:styleId="CharCharChar">
    <w:name w:val="Char Char Char"/>
    <w:basedOn w:val="Normal"/>
    <w:pPr>
      <w:spacing w:after="160" w:line="240" w:lineRule="exact"/>
    </w:pPr>
    <w:rPr>
      <w:rFonts w:ascii="Verdana" w:hAnsi="Verdana" w:cs="Verdana"/>
      <w:sz w:val="20"/>
      <w:szCs w:val="24"/>
    </w:rPr>
  </w:style>
  <w:style w:type="paragraph" w:customStyle="1" w:styleId="Heading21">
    <w:name w:val="Heading 21"/>
    <w:basedOn w:val="Normal"/>
    <w:pPr>
      <w:spacing w:line="368" w:lineRule="atLeast"/>
      <w:jc w:val="left"/>
      <w:outlineLvl w:val="2"/>
    </w:pPr>
    <w:rPr>
      <w:rFonts w:ascii="Georgia" w:hAnsi="Georgia"/>
      <w:color w:val="671800"/>
      <w:sz w:val="32"/>
      <w:szCs w:val="32"/>
    </w:rPr>
  </w:style>
  <w:style w:type="paragraph" w:customStyle="1" w:styleId="NormalWeb1">
    <w:name w:val="Normal (Web)1"/>
    <w:basedOn w:val="Normal"/>
    <w:pPr>
      <w:spacing w:after="100" w:afterAutospacing="1" w:line="301" w:lineRule="atLeast"/>
      <w:jc w:val="left"/>
    </w:pPr>
    <w:rPr>
      <w:rFonts w:ascii="Verdana" w:hAnsi="Verdana"/>
      <w:color w:val="5E4531"/>
      <w:sz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term1">
    <w:name w:val="term1"/>
    <w:rPr>
      <w:rFonts w:ascii="Verdana" w:hAnsi="Verdana" w:hint="default"/>
      <w:b/>
      <w:bCs/>
      <w:sz w:val="20"/>
      <w:szCs w:val="20"/>
    </w:rPr>
  </w:style>
  <w:style w:type="character" w:styleId="Hyperlink">
    <w:name w:val="Hyperlink"/>
    <w:rPr>
      <w:color w:val="8A3132"/>
      <w:u w:val="single"/>
    </w:rPr>
  </w:style>
  <w:style w:type="paragraph" w:customStyle="1" w:styleId="p0">
    <w:name w:val="p0"/>
    <w:basedOn w:val="Normal"/>
    <w:pPr>
      <w:spacing w:before="48" w:after="240"/>
      <w:ind w:left="720" w:firstLine="720"/>
      <w:jc w:val="left"/>
    </w:pPr>
    <w:rPr>
      <w:rFonts w:ascii="Arial" w:hAnsi="Arial" w:cs="Arial"/>
      <w:color w:val="000000"/>
      <w:sz w:val="15"/>
      <w:szCs w:val="15"/>
    </w:rPr>
  </w:style>
  <w:style w:type="paragraph" w:customStyle="1" w:styleId="sec">
    <w:name w:val="sec"/>
    <w:basedOn w:val="Normal"/>
    <w:pPr>
      <w:pBdr>
        <w:left w:val="single" w:sz="2" w:space="9" w:color="80161C"/>
      </w:pBdr>
      <w:spacing w:before="48" w:after="240"/>
      <w:ind w:left="480"/>
      <w:jc w:val="left"/>
    </w:pPr>
    <w:rPr>
      <w:rFonts w:ascii="Arial" w:hAnsi="Arial" w:cs="Arial"/>
      <w:b/>
      <w:bCs/>
      <w:color w:val="80161C"/>
      <w:sz w:val="18"/>
      <w:szCs w:val="18"/>
    </w:rPr>
  </w:style>
  <w:style w:type="paragraph" w:customStyle="1" w:styleId="Normal1">
    <w:name w:val="Normal1"/>
    <w:basedOn w:val="Normal"/>
    <w:pPr>
      <w:spacing w:before="100" w:beforeAutospacing="1" w:after="100" w:afterAutospacing="1"/>
      <w:ind w:left="250" w:right="250"/>
      <w:jc w:val="left"/>
    </w:pPr>
    <w:rPr>
      <w:rFonts w:ascii="Verdana" w:hAnsi="Verdana"/>
      <w:sz w:val="20"/>
    </w:rPr>
  </w:style>
  <w:style w:type="character" w:customStyle="1" w:styleId="normal--char">
    <w:name w:val="normal--char"/>
    <w:rPr>
      <w:rFonts w:ascii="Verdana" w:hAnsi="Verdana" w:hint="default"/>
      <w:sz w:val="20"/>
      <w:szCs w:val="20"/>
    </w:rPr>
  </w:style>
  <w:style w:type="character" w:customStyle="1" w:styleId="BalloonTextChar">
    <w:name w:val="Balloon Text Char"/>
    <w:basedOn w:val="DefaultParagraphFont"/>
    <w:link w:val="BalloonText"/>
    <w:uiPriority w:val="99"/>
    <w:semiHidden/>
    <w:rsid w:val="00CD73A6"/>
    <w:rPr>
      <w:rFonts w:ascii="Tahoma" w:hAnsi="Tahoma" w:cs="Tahoma"/>
      <w:sz w:val="16"/>
      <w:szCs w:val="16"/>
    </w:rPr>
  </w:style>
  <w:style w:type="character" w:styleId="CommentReference">
    <w:name w:val="annotation reference"/>
    <w:basedOn w:val="DefaultParagraphFont"/>
    <w:uiPriority w:val="99"/>
    <w:semiHidden/>
    <w:unhideWhenUsed/>
    <w:rsid w:val="00CD73A6"/>
    <w:rPr>
      <w:sz w:val="16"/>
      <w:szCs w:val="16"/>
    </w:rPr>
  </w:style>
  <w:style w:type="character" w:customStyle="1" w:styleId="CommentTextChar">
    <w:name w:val="Comment Text Char"/>
    <w:basedOn w:val="DefaultParagraphFont"/>
    <w:uiPriority w:val="99"/>
    <w:rsid w:val="00CD73A6"/>
    <w:rPr>
      <w:sz w:val="20"/>
      <w:szCs w:val="20"/>
    </w:rPr>
  </w:style>
  <w:style w:type="paragraph" w:styleId="CommentSubject">
    <w:name w:val="annotation subject"/>
    <w:basedOn w:val="CommentText"/>
    <w:next w:val="CommentText"/>
    <w:link w:val="CommentSubjectChar"/>
    <w:uiPriority w:val="99"/>
    <w:semiHidden/>
    <w:unhideWhenUsed/>
    <w:rsid w:val="00CD73A6"/>
    <w:pPr>
      <w:widowControl w:val="0"/>
      <w:spacing w:after="200"/>
      <w:jc w:val="left"/>
    </w:pPr>
    <w:rPr>
      <w:rFonts w:asciiTheme="minorHAnsi" w:eastAsiaTheme="minorHAnsi" w:hAnsiTheme="minorHAnsi" w:cstheme="minorBidi"/>
      <w:b/>
      <w:bCs/>
    </w:rPr>
  </w:style>
  <w:style w:type="character" w:customStyle="1" w:styleId="CommentTextChar1">
    <w:name w:val="Comment Text Char1"/>
    <w:basedOn w:val="DefaultParagraphFont"/>
    <w:link w:val="CommentText"/>
    <w:uiPriority w:val="99"/>
    <w:rsid w:val="00CD73A6"/>
  </w:style>
  <w:style w:type="character" w:customStyle="1" w:styleId="CommentSubjectChar">
    <w:name w:val="Comment Subject Char"/>
    <w:basedOn w:val="CommentTextChar1"/>
    <w:link w:val="CommentSubject"/>
    <w:uiPriority w:val="99"/>
    <w:semiHidden/>
    <w:rsid w:val="00CD73A6"/>
    <w:rPr>
      <w:rFonts w:asciiTheme="minorHAnsi" w:eastAsiaTheme="minorHAnsi" w:hAnsiTheme="minorHAnsi" w:cstheme="minorBidi"/>
      <w:b/>
      <w:bCs/>
    </w:rPr>
  </w:style>
  <w:style w:type="character" w:customStyle="1" w:styleId="HeaderChar">
    <w:name w:val="Header Char"/>
    <w:basedOn w:val="DefaultParagraphFont"/>
    <w:link w:val="Header"/>
    <w:uiPriority w:val="99"/>
    <w:rsid w:val="00CD73A6"/>
    <w:rPr>
      <w:sz w:val="24"/>
    </w:rPr>
  </w:style>
  <w:style w:type="character" w:customStyle="1" w:styleId="FooterChar">
    <w:name w:val="Footer Char"/>
    <w:basedOn w:val="DefaultParagraphFont"/>
    <w:link w:val="Footer"/>
    <w:uiPriority w:val="99"/>
    <w:rsid w:val="00CD73A6"/>
    <w:rPr>
      <w:sz w:val="24"/>
    </w:rPr>
  </w:style>
  <w:style w:type="paragraph" w:styleId="ListParagraph">
    <w:name w:val="List Paragraph"/>
    <w:basedOn w:val="Normal"/>
    <w:uiPriority w:val="34"/>
    <w:qFormat/>
    <w:rsid w:val="00CD73A6"/>
    <w:pPr>
      <w:widowControl w:val="0"/>
      <w:spacing w:after="200" w:line="276" w:lineRule="auto"/>
      <w:ind w:left="720"/>
      <w:contextualSpacing/>
      <w:jc w:val="left"/>
    </w:pPr>
    <w:rPr>
      <w:rFonts w:asciiTheme="minorHAnsi" w:eastAsiaTheme="minorHAnsi" w:hAnsiTheme="minorHAnsi" w:cstheme="minorBidi"/>
      <w:sz w:val="22"/>
      <w:szCs w:val="22"/>
    </w:rPr>
  </w:style>
  <w:style w:type="paragraph" w:styleId="Revision">
    <w:name w:val="Revision"/>
    <w:hidden/>
    <w:uiPriority w:val="99"/>
    <w:semiHidden/>
    <w:rsid w:val="00CD73A6"/>
    <w:rPr>
      <w:rFonts w:asciiTheme="minorHAnsi" w:eastAsiaTheme="minorHAnsi" w:hAnsiTheme="minorHAnsi" w:cstheme="minorBidi"/>
      <w:sz w:val="22"/>
      <w:szCs w:val="22"/>
    </w:rPr>
  </w:style>
  <w:style w:type="paragraph" w:styleId="BodyTextIndent2">
    <w:name w:val="Body Text Indent 2"/>
    <w:basedOn w:val="Normal"/>
    <w:link w:val="BodyTextIndent2Char"/>
    <w:uiPriority w:val="99"/>
    <w:unhideWhenUsed/>
    <w:rsid w:val="00CD73A6"/>
    <w:pPr>
      <w:overflowPunct w:val="0"/>
      <w:autoSpaceDE w:val="0"/>
      <w:autoSpaceDN w:val="0"/>
      <w:adjustRightInd w:val="0"/>
      <w:spacing w:after="120" w:line="480" w:lineRule="auto"/>
      <w:ind w:left="360"/>
      <w:jc w:val="left"/>
      <w:textAlignment w:val="baseline"/>
    </w:pPr>
    <w:rPr>
      <w:sz w:val="20"/>
    </w:rPr>
  </w:style>
  <w:style w:type="character" w:customStyle="1" w:styleId="BodyTextIndent2Char">
    <w:name w:val="Body Text Indent 2 Char"/>
    <w:basedOn w:val="DefaultParagraphFont"/>
    <w:link w:val="BodyTextIndent2"/>
    <w:uiPriority w:val="99"/>
    <w:rsid w:val="00CD73A6"/>
  </w:style>
  <w:style w:type="character" w:customStyle="1" w:styleId="apple-converted-space">
    <w:name w:val="apple-converted-space"/>
    <w:basedOn w:val="DefaultParagraphFont"/>
    <w:rsid w:val="005770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rPr>
  </w:style>
  <w:style w:type="paragraph" w:styleId="Heading1">
    <w:name w:val="heading 1"/>
    <w:aliases w:val="h1"/>
    <w:basedOn w:val="Normal"/>
    <w:next w:val="Heading2"/>
    <w:qFormat/>
    <w:pPr>
      <w:spacing w:before="240"/>
      <w:ind w:left="720" w:hanging="720"/>
      <w:outlineLvl w:val="0"/>
    </w:pPr>
    <w:rPr>
      <w:color w:val="0000FF"/>
    </w:rPr>
  </w:style>
  <w:style w:type="paragraph" w:styleId="Heading2">
    <w:name w:val="heading 2"/>
    <w:aliases w:val="h2"/>
    <w:basedOn w:val="Normal"/>
    <w:qFormat/>
    <w:pPr>
      <w:spacing w:before="240"/>
      <w:ind w:left="1440" w:hanging="720"/>
      <w:outlineLvl w:val="1"/>
    </w:pPr>
    <w:rPr>
      <w:color w:val="0000FF"/>
    </w:rPr>
  </w:style>
  <w:style w:type="paragraph" w:styleId="Heading3">
    <w:name w:val="heading 3"/>
    <w:aliases w:val="h3"/>
    <w:basedOn w:val="Normal"/>
    <w:qFormat/>
    <w:pPr>
      <w:spacing w:before="240"/>
      <w:ind w:left="2160" w:hanging="720"/>
      <w:outlineLvl w:val="2"/>
    </w:pPr>
    <w:rPr>
      <w:color w:val="0000FF"/>
    </w:rPr>
  </w:style>
  <w:style w:type="paragraph" w:styleId="Heading4">
    <w:name w:val="heading 4"/>
    <w:aliases w:val="h4"/>
    <w:basedOn w:val="Normal"/>
    <w:qFormat/>
    <w:pPr>
      <w:spacing w:before="240"/>
      <w:ind w:left="2880" w:hanging="720"/>
      <w:outlineLvl w:val="3"/>
    </w:pPr>
    <w:rPr>
      <w:color w:val="0000FF"/>
    </w:rPr>
  </w:style>
  <w:style w:type="paragraph" w:styleId="Heading5">
    <w:name w:val="heading 5"/>
    <w:aliases w:val="h5"/>
    <w:basedOn w:val="Normal"/>
    <w:qFormat/>
    <w:pPr>
      <w:spacing w:before="240"/>
      <w:ind w:left="3600" w:hanging="720"/>
      <w:outlineLvl w:val="4"/>
    </w:pPr>
    <w:rPr>
      <w:color w:val="0000FF"/>
    </w:rPr>
  </w:style>
  <w:style w:type="paragraph" w:styleId="Heading6">
    <w:name w:val="heading 6"/>
    <w:aliases w:val="h6"/>
    <w:basedOn w:val="Normal"/>
    <w:qFormat/>
    <w:pPr>
      <w:spacing w:before="240"/>
      <w:ind w:left="4320" w:hanging="720"/>
      <w:outlineLvl w:val="5"/>
    </w:pPr>
    <w:rPr>
      <w:color w:val="0000FF"/>
    </w:rPr>
  </w:style>
  <w:style w:type="paragraph" w:styleId="Heading7">
    <w:name w:val="heading 7"/>
    <w:aliases w:val="h7"/>
    <w:basedOn w:val="Normal"/>
    <w:qFormat/>
    <w:pPr>
      <w:spacing w:before="240"/>
      <w:ind w:left="5040" w:hanging="720"/>
      <w:outlineLvl w:val="6"/>
    </w:pPr>
    <w:rPr>
      <w:color w:val="0000FF"/>
    </w:rPr>
  </w:style>
  <w:style w:type="paragraph" w:styleId="Heading8">
    <w:name w:val="heading 8"/>
    <w:aliases w:val="h8"/>
    <w:basedOn w:val="Normal"/>
    <w:qFormat/>
    <w:pPr>
      <w:spacing w:before="240"/>
      <w:ind w:left="5760" w:hanging="720"/>
      <w:outlineLvl w:val="7"/>
    </w:pPr>
    <w:rPr>
      <w:color w:val="0000FF"/>
    </w:rPr>
  </w:style>
  <w:style w:type="paragraph" w:styleId="Heading9">
    <w:name w:val="heading 9"/>
    <w:aliases w:val="h9"/>
    <w:basedOn w:val="Normal"/>
    <w:qFormat/>
    <w:pPr>
      <w:spacing w:before="240"/>
      <w:ind w:left="6480" w:hanging="720"/>
      <w:outlineLvl w:val="8"/>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Indent">
    <w:name w:val="Normal Indent"/>
    <w:basedOn w:val="Normal"/>
    <w:pPr>
      <w:spacing w:before="240"/>
      <w:ind w:firstLine="1440"/>
    </w:pPr>
  </w:style>
  <w:style w:type="paragraph" w:styleId="FootnoteText">
    <w:name w:val="footnote text"/>
    <w:basedOn w:val="Normal"/>
    <w:semiHidden/>
    <w:pPr>
      <w:widowControl w:val="0"/>
      <w:tabs>
        <w:tab w:val="left" w:pos="360"/>
      </w:tabs>
    </w:pPr>
  </w:style>
  <w:style w:type="paragraph" w:styleId="TOC1">
    <w:name w:val="toc 1"/>
    <w:basedOn w:val="Normal"/>
    <w:next w:val="Normal"/>
    <w:semiHidden/>
    <w:pPr>
      <w:tabs>
        <w:tab w:val="right" w:leader="dot" w:pos="9072"/>
      </w:tabs>
      <w:spacing w:before="240"/>
      <w:ind w:left="720" w:right="1008" w:hanging="720"/>
    </w:pPr>
  </w:style>
  <w:style w:type="paragraph" w:styleId="TOAHeading">
    <w:name w:val="toa heading"/>
    <w:basedOn w:val="Normal"/>
    <w:next w:val="Normal"/>
    <w:semiHidden/>
    <w:pPr>
      <w:spacing w:before="240"/>
    </w:pPr>
    <w:rPr>
      <w:b/>
      <w:u w:val="single"/>
    </w:rPr>
  </w:style>
  <w:style w:type="character" w:customStyle="1" w:styleId="FooterTxt">
    <w:name w:val="FooterTxt"/>
    <w:rPr>
      <w:rFonts w:ascii="Times New Roman" w:hAnsi="Times New Roman" w:cs="Times New Roman"/>
      <w:dstrike w:val="0"/>
      <w:sz w:val="16"/>
      <w:vertAlign w:val="baseline"/>
    </w:rPr>
  </w:style>
  <w:style w:type="paragraph" w:customStyle="1" w:styleId="Center">
    <w:name w:val="Center"/>
    <w:aliases w:val="c"/>
    <w:basedOn w:val="Normal"/>
    <w:next w:val="Body"/>
    <w:pPr>
      <w:keepNext/>
      <w:keepLines/>
      <w:suppressAutoHyphens/>
      <w:spacing w:before="240"/>
      <w:jc w:val="center"/>
    </w:pPr>
  </w:style>
  <w:style w:type="paragraph" w:customStyle="1" w:styleId="Body">
    <w:name w:val="Body"/>
    <w:aliases w:val="b"/>
    <w:basedOn w:val="Normal"/>
    <w:pPr>
      <w:suppressAutoHyphens/>
      <w:spacing w:before="240"/>
      <w:ind w:firstLine="720"/>
    </w:pPr>
  </w:style>
  <w:style w:type="paragraph" w:customStyle="1" w:styleId="FlushLeft">
    <w:name w:val="Flush Left"/>
    <w:aliases w:val="fl"/>
    <w:basedOn w:val="Normal"/>
    <w:pPr>
      <w:spacing w:before="240"/>
    </w:pPr>
  </w:style>
  <w:style w:type="paragraph" w:customStyle="1" w:styleId="BodyDouble">
    <w:name w:val="Body Double"/>
    <w:aliases w:val="bd"/>
    <w:basedOn w:val="Body"/>
    <w:pPr>
      <w:spacing w:before="0" w:line="480" w:lineRule="auto"/>
    </w:pPr>
  </w:style>
  <w:style w:type="paragraph" w:customStyle="1" w:styleId="Table">
    <w:name w:val="Table"/>
    <w:basedOn w:val="Normal"/>
    <w:pPr>
      <w:spacing w:before="40" w:after="40"/>
    </w:pPr>
  </w:style>
  <w:style w:type="paragraph" w:styleId="TOC2">
    <w:name w:val="toc 2"/>
    <w:basedOn w:val="Normal"/>
    <w:next w:val="Normal"/>
    <w:semiHidden/>
    <w:pPr>
      <w:tabs>
        <w:tab w:val="right" w:leader="dot" w:pos="9072"/>
      </w:tabs>
      <w:spacing w:before="240"/>
      <w:ind w:left="720" w:right="1008"/>
    </w:pPr>
  </w:style>
  <w:style w:type="paragraph" w:styleId="TOC3">
    <w:name w:val="toc 3"/>
    <w:basedOn w:val="Normal"/>
    <w:next w:val="Normal"/>
    <w:semiHidden/>
    <w:pPr>
      <w:tabs>
        <w:tab w:val="right" w:leader="dot" w:pos="9072"/>
      </w:tabs>
      <w:spacing w:before="240"/>
      <w:ind w:left="720" w:right="1008" w:firstLine="720"/>
    </w:pPr>
  </w:style>
  <w:style w:type="paragraph" w:styleId="TOC4">
    <w:name w:val="toc 4"/>
    <w:basedOn w:val="Normal"/>
    <w:next w:val="Normal"/>
    <w:semiHidden/>
    <w:pPr>
      <w:tabs>
        <w:tab w:val="right" w:leader="dot" w:pos="9072"/>
      </w:tabs>
      <w:spacing w:before="240"/>
      <w:ind w:left="2160" w:right="1008"/>
    </w:pPr>
  </w:style>
  <w:style w:type="paragraph" w:styleId="TOC5">
    <w:name w:val="toc 5"/>
    <w:basedOn w:val="Normal"/>
    <w:next w:val="Normal"/>
    <w:semiHidden/>
    <w:pPr>
      <w:tabs>
        <w:tab w:val="right" w:leader="dot" w:pos="9072"/>
      </w:tabs>
      <w:spacing w:before="240"/>
      <w:ind w:left="2880" w:right="1008"/>
    </w:pPr>
  </w:style>
  <w:style w:type="paragraph" w:styleId="TOC6">
    <w:name w:val="toc 6"/>
    <w:basedOn w:val="Normal"/>
    <w:next w:val="Normal"/>
    <w:semiHidden/>
    <w:pPr>
      <w:tabs>
        <w:tab w:val="right" w:leader="dot" w:pos="9072"/>
      </w:tabs>
      <w:spacing w:before="240"/>
      <w:ind w:left="3600" w:right="1008"/>
    </w:pPr>
  </w:style>
  <w:style w:type="paragraph" w:styleId="TOC7">
    <w:name w:val="toc 7"/>
    <w:basedOn w:val="Normal"/>
    <w:next w:val="Normal"/>
    <w:semiHidden/>
    <w:pPr>
      <w:tabs>
        <w:tab w:val="right" w:leader="dot" w:pos="9072"/>
      </w:tabs>
      <w:spacing w:before="240"/>
      <w:ind w:left="4320" w:right="1008"/>
    </w:pPr>
  </w:style>
  <w:style w:type="paragraph" w:styleId="TOC8">
    <w:name w:val="toc 8"/>
    <w:basedOn w:val="Normal"/>
    <w:next w:val="Normal"/>
    <w:semiHidden/>
    <w:pPr>
      <w:tabs>
        <w:tab w:val="right" w:leader="dot" w:pos="9072"/>
      </w:tabs>
      <w:spacing w:before="240"/>
      <w:ind w:left="5040" w:right="1008"/>
    </w:pPr>
  </w:style>
  <w:style w:type="paragraph" w:styleId="TOC9">
    <w:name w:val="toc 9"/>
    <w:basedOn w:val="Normal"/>
    <w:next w:val="Normal"/>
    <w:semiHidden/>
    <w:pPr>
      <w:tabs>
        <w:tab w:val="right" w:leader="dot" w:pos="9072"/>
      </w:tabs>
      <w:spacing w:before="240"/>
      <w:ind w:left="5760" w:right="1008"/>
    </w:pPr>
  </w:style>
  <w:style w:type="character" w:customStyle="1" w:styleId="NonTocText">
    <w:name w:val="Non Toc Text"/>
    <w:rPr>
      <w:color w:val="000000"/>
    </w:rPr>
  </w:style>
  <w:style w:type="character" w:styleId="FootnoteReference">
    <w:name w:val="footnote reference"/>
    <w:semiHidden/>
    <w:rPr>
      <w:vertAlign w:val="superscript"/>
    </w:rPr>
  </w:style>
  <w:style w:type="paragraph" w:customStyle="1" w:styleId="Hanging">
    <w:name w:val="Hanging"/>
    <w:aliases w:val="h"/>
    <w:basedOn w:val="Normal"/>
    <w:pPr>
      <w:spacing w:before="240"/>
      <w:ind w:left="720" w:hanging="720"/>
    </w:pPr>
  </w:style>
  <w:style w:type="paragraph" w:styleId="BlockText">
    <w:name w:val="Block Text"/>
    <w:basedOn w:val="Normal"/>
    <w:pPr>
      <w:spacing w:before="120"/>
      <w:ind w:left="1440" w:right="1440"/>
    </w:pPr>
  </w:style>
  <w:style w:type="paragraph" w:customStyle="1" w:styleId="Indent1">
    <w:name w:val="Indent 1&quot;"/>
    <w:aliases w:val="i1"/>
    <w:basedOn w:val="Normal"/>
    <w:pPr>
      <w:spacing w:before="240"/>
      <w:ind w:left="1440"/>
    </w:pPr>
  </w:style>
  <w:style w:type="paragraph" w:customStyle="1" w:styleId="IndentBodyDouble">
    <w:name w:val="Indent Body Double"/>
    <w:aliases w:val="ibd"/>
    <w:basedOn w:val="IndentBody"/>
    <w:pPr>
      <w:spacing w:before="0" w:line="480" w:lineRule="auto"/>
    </w:pPr>
  </w:style>
  <w:style w:type="paragraph" w:customStyle="1" w:styleId="IndentBody">
    <w:name w:val="Indent Body"/>
    <w:aliases w:val="ib"/>
    <w:basedOn w:val="Normal"/>
    <w:pPr>
      <w:spacing w:before="240"/>
      <w:ind w:left="720" w:firstLine="720"/>
    </w:pPr>
  </w:style>
  <w:style w:type="paragraph" w:customStyle="1" w:styleId="Indent1Body">
    <w:name w:val="Indent 1&quot; Body"/>
    <w:aliases w:val="i1b"/>
    <w:basedOn w:val="Normal"/>
    <w:pPr>
      <w:spacing w:before="240"/>
      <w:ind w:left="1440" w:firstLine="720"/>
    </w:pPr>
  </w:style>
  <w:style w:type="paragraph" w:customStyle="1" w:styleId="FlushLeftDouble">
    <w:name w:val="Flush Left Double"/>
    <w:aliases w:val="fld"/>
    <w:basedOn w:val="FlushLeft"/>
    <w:pPr>
      <w:spacing w:before="0" w:line="480" w:lineRule="auto"/>
    </w:pPr>
  </w:style>
  <w:style w:type="paragraph" w:customStyle="1" w:styleId="HangingIndent1Double">
    <w:name w:val="Hanging Indent 1&quot; Double"/>
    <w:aliases w:val="hi1d"/>
    <w:basedOn w:val="HangingDouble"/>
    <w:pPr>
      <w:ind w:left="1440" w:hanging="1440"/>
    </w:pPr>
  </w:style>
  <w:style w:type="paragraph" w:customStyle="1" w:styleId="HangingDouble">
    <w:name w:val="Hanging Double"/>
    <w:aliases w:val="hd"/>
    <w:basedOn w:val="Hanging"/>
    <w:pPr>
      <w:spacing w:before="0" w:line="480" w:lineRule="auto"/>
    </w:pPr>
  </w:style>
  <w:style w:type="paragraph" w:styleId="TableofAuthorities">
    <w:name w:val="table of authorities"/>
    <w:basedOn w:val="Normal"/>
    <w:next w:val="Normal"/>
    <w:autoRedefine/>
    <w:semiHidden/>
    <w:pPr>
      <w:tabs>
        <w:tab w:val="right" w:leader="dot" w:pos="8928"/>
      </w:tabs>
      <w:ind w:left="720" w:right="1008" w:hanging="720"/>
    </w:pPr>
  </w:style>
  <w:style w:type="character" w:styleId="LineNumber">
    <w:name w:val="line number"/>
    <w:basedOn w:val="DefaultParagraphFont"/>
  </w:style>
  <w:style w:type="paragraph" w:customStyle="1" w:styleId="CenterDouble">
    <w:name w:val="Center Double"/>
    <w:aliases w:val="cd"/>
    <w:basedOn w:val="Center"/>
    <w:next w:val="BodyDouble"/>
    <w:pPr>
      <w:spacing w:before="0" w:line="480" w:lineRule="auto"/>
    </w:pPr>
  </w:style>
  <w:style w:type="paragraph" w:customStyle="1" w:styleId="Indent1Double">
    <w:name w:val="Indent 1&quot; Double"/>
    <w:aliases w:val="i1d"/>
    <w:basedOn w:val="Indent1"/>
    <w:pPr>
      <w:spacing w:before="0" w:line="480" w:lineRule="auto"/>
    </w:pPr>
  </w:style>
  <w:style w:type="paragraph" w:customStyle="1" w:styleId="Indent">
    <w:name w:val="Indent"/>
    <w:aliases w:val="i"/>
    <w:basedOn w:val="Normal"/>
    <w:pPr>
      <w:spacing w:before="240"/>
      <w:ind w:left="720"/>
    </w:pPr>
  </w:style>
  <w:style w:type="paragraph" w:customStyle="1" w:styleId="IndentDouble">
    <w:name w:val="Indent Double"/>
    <w:aliases w:val="id"/>
    <w:basedOn w:val="Indent"/>
    <w:pPr>
      <w:spacing w:before="0" w:line="480" w:lineRule="auto"/>
    </w:pPr>
  </w:style>
  <w:style w:type="paragraph" w:customStyle="1" w:styleId="IndentHanging">
    <w:name w:val="Indent Hanging"/>
    <w:aliases w:val="ih"/>
    <w:basedOn w:val="Normal"/>
    <w:pPr>
      <w:spacing w:before="240"/>
      <w:ind w:left="1440" w:hanging="720"/>
    </w:pPr>
  </w:style>
  <w:style w:type="paragraph" w:customStyle="1" w:styleId="IndentHangingDouble">
    <w:name w:val="Indent Hanging Double"/>
    <w:aliases w:val="ihd"/>
    <w:basedOn w:val="IndentHanging"/>
    <w:pPr>
      <w:spacing w:before="0" w:line="480" w:lineRule="auto"/>
    </w:pPr>
  </w:style>
  <w:style w:type="paragraph" w:customStyle="1" w:styleId="Indent1BodyDouble">
    <w:name w:val="Indent 1&quot; Body Double"/>
    <w:aliases w:val="i1bd"/>
    <w:basedOn w:val="Indent1Body"/>
    <w:pPr>
      <w:spacing w:before="0" w:line="480" w:lineRule="auto"/>
    </w:pPr>
  </w:style>
  <w:style w:type="paragraph" w:customStyle="1" w:styleId="HangingIndent1">
    <w:name w:val="Hanging Indent 1&quot;"/>
    <w:aliases w:val="hi1"/>
    <w:basedOn w:val="Hanging"/>
    <w:pPr>
      <w:ind w:left="1440" w:hanging="1440"/>
    </w:pPr>
  </w:style>
  <w:style w:type="paragraph" w:styleId="ListBullet">
    <w:name w:val="List Bullet"/>
    <w:aliases w:val="*"/>
    <w:basedOn w:val="Normal"/>
    <w:autoRedefine/>
    <w:pPr>
      <w:numPr>
        <w:numId w:val="1"/>
      </w:numPr>
    </w:pPr>
  </w:style>
  <w:style w:type="paragraph" w:customStyle="1" w:styleId="Body1">
    <w:name w:val="Body 1&quot;"/>
    <w:aliases w:val="b1"/>
    <w:basedOn w:val="Normal"/>
    <w:pPr>
      <w:spacing w:before="240"/>
      <w:ind w:firstLine="1440"/>
    </w:pPr>
  </w:style>
  <w:style w:type="paragraph" w:customStyle="1" w:styleId="Body1Double">
    <w:name w:val="Body 1&quot; Double"/>
    <w:aliases w:val="b1d"/>
    <w:basedOn w:val="Body1"/>
    <w:pPr>
      <w:spacing w:before="0" w:line="480" w:lineRule="auto"/>
    </w:pPr>
  </w:style>
  <w:style w:type="paragraph" w:customStyle="1" w:styleId="Auto1">
    <w:name w:val="Auto 1"/>
    <w:aliases w:val="a1"/>
    <w:basedOn w:val="Normal"/>
    <w:pPr>
      <w:spacing w:before="240"/>
    </w:pPr>
  </w:style>
  <w:style w:type="paragraph" w:customStyle="1" w:styleId="Indent1Hanging">
    <w:name w:val="Indent 1&quot; Hanging"/>
    <w:aliases w:val="i1h"/>
    <w:basedOn w:val="Normal"/>
    <w:pPr>
      <w:spacing w:before="240"/>
      <w:ind w:left="2160" w:hanging="720"/>
    </w:pPr>
  </w:style>
  <w:style w:type="paragraph" w:customStyle="1" w:styleId="Indent1HangingDouble">
    <w:name w:val="Indent 1&quot; Hanging Double"/>
    <w:aliases w:val="i1hd"/>
    <w:basedOn w:val="Indent1Hanging"/>
    <w:pPr>
      <w:spacing w:before="0" w:line="480" w:lineRule="auto"/>
    </w:pPr>
  </w:style>
  <w:style w:type="paragraph" w:customStyle="1" w:styleId="Auto2">
    <w:name w:val="Auto 2"/>
    <w:aliases w:val="a2"/>
    <w:basedOn w:val="Normal"/>
    <w:pPr>
      <w:tabs>
        <w:tab w:val="left" w:pos="2160"/>
      </w:tabs>
      <w:spacing w:before="240"/>
    </w:pPr>
  </w:style>
  <w:style w:type="paragraph" w:customStyle="1" w:styleId="Auto3">
    <w:name w:val="Auto 3"/>
    <w:aliases w:val="a3"/>
    <w:basedOn w:val="Normal"/>
    <w:pPr>
      <w:spacing w:before="240"/>
    </w:pPr>
  </w:style>
  <w:style w:type="paragraph" w:customStyle="1" w:styleId="Auto4">
    <w:name w:val="Auto 4"/>
    <w:aliases w:val="a4"/>
    <w:basedOn w:val="Normal"/>
    <w:pPr>
      <w:tabs>
        <w:tab w:val="left" w:pos="3600"/>
      </w:tabs>
      <w:spacing w:before="240"/>
    </w:pPr>
  </w:style>
  <w:style w:type="paragraph" w:customStyle="1" w:styleId="Auto5">
    <w:name w:val="Auto 5"/>
    <w:aliases w:val="a5"/>
    <w:basedOn w:val="Normal"/>
    <w:pPr>
      <w:tabs>
        <w:tab w:val="left" w:pos="4320"/>
      </w:tabs>
      <w:spacing w:before="240"/>
    </w:pPr>
  </w:style>
  <w:style w:type="paragraph" w:customStyle="1" w:styleId="Auto6">
    <w:name w:val="Auto 6"/>
    <w:aliases w:val="a6"/>
    <w:basedOn w:val="Normal"/>
    <w:pPr>
      <w:spacing w:before="240"/>
    </w:pPr>
  </w:style>
  <w:style w:type="paragraph" w:customStyle="1" w:styleId="Auto7">
    <w:name w:val="Auto 7"/>
    <w:aliases w:val="a7"/>
    <w:basedOn w:val="Normal"/>
    <w:pPr>
      <w:spacing w:before="240"/>
    </w:pPr>
  </w:style>
  <w:style w:type="paragraph" w:customStyle="1" w:styleId="Auto8">
    <w:name w:val="Auto 8"/>
    <w:aliases w:val="a8"/>
    <w:basedOn w:val="Normal"/>
    <w:pPr>
      <w:spacing w:before="240"/>
    </w:pPr>
  </w:style>
  <w:style w:type="paragraph" w:customStyle="1" w:styleId="Auto9">
    <w:name w:val="Auto 9"/>
    <w:aliases w:val="a9"/>
    <w:basedOn w:val="Normal"/>
    <w:pPr>
      <w:spacing w:before="240"/>
    </w:pPr>
  </w:style>
  <w:style w:type="paragraph" w:customStyle="1" w:styleId="Quote1">
    <w:name w:val="Quote 1&quot;"/>
    <w:aliases w:val="q1"/>
    <w:basedOn w:val="Normal"/>
    <w:pPr>
      <w:spacing w:before="240"/>
      <w:ind w:left="1440" w:right="1440"/>
    </w:pPr>
  </w:style>
  <w:style w:type="paragraph" w:customStyle="1" w:styleId="Quote1Double">
    <w:name w:val="Quote 1&quot; Double"/>
    <w:aliases w:val="q1d"/>
    <w:basedOn w:val="Quote1"/>
    <w:pPr>
      <w:spacing w:before="0" w:line="480" w:lineRule="auto"/>
    </w:pPr>
  </w:style>
  <w:style w:type="paragraph" w:customStyle="1" w:styleId="Quote10">
    <w:name w:val="Quote1"/>
    <w:aliases w:val="q"/>
    <w:basedOn w:val="Normal"/>
    <w:pPr>
      <w:spacing w:before="240"/>
      <w:ind w:left="720" w:right="720"/>
    </w:pPr>
  </w:style>
  <w:style w:type="paragraph" w:customStyle="1" w:styleId="QuoteDouble">
    <w:name w:val="Quote Double"/>
    <w:aliases w:val="qd"/>
    <w:basedOn w:val="Quote10"/>
    <w:pPr>
      <w:spacing w:before="0" w:line="480" w:lineRule="auto"/>
    </w:pPr>
  </w:style>
  <w:style w:type="paragraph" w:styleId="Caption">
    <w:name w:val="caption"/>
    <w:basedOn w:val="Normal"/>
    <w:next w:val="Normal"/>
    <w:qFormat/>
    <w:pPr>
      <w:spacing w:before="120" w:after="120"/>
    </w:pPr>
    <w:rPr>
      <w:b/>
    </w:rPr>
  </w:style>
  <w:style w:type="paragraph" w:styleId="Closing">
    <w:name w:val="Closing"/>
    <w:basedOn w:val="Normal"/>
    <w:pPr>
      <w:ind w:left="4320"/>
      <w:jc w:val="left"/>
    </w:pPr>
  </w:style>
  <w:style w:type="paragraph" w:styleId="CommentText">
    <w:name w:val="annotation text"/>
    <w:basedOn w:val="Normal"/>
    <w:link w:val="CommentTextChar1"/>
    <w:uiPriority w:val="99"/>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jc w:val="left"/>
    </w:pPr>
    <w:rPr>
      <w:rFonts w:ascii="Arial" w:hAnsi="Arial"/>
    </w:rPr>
  </w:style>
  <w:style w:type="paragraph" w:styleId="EnvelopeReturn">
    <w:name w:val="envelope return"/>
    <w:basedOn w:val="Normal"/>
    <w:pPr>
      <w:jc w:val="left"/>
    </w:pPr>
    <w:rPr>
      <w:rFonts w:ascii="Arial" w:hAnsi="Arial"/>
      <w:sz w:val="20"/>
    </w:rPr>
  </w:style>
  <w:style w:type="paragraph" w:styleId="Index1">
    <w:name w:val="index 1"/>
    <w:basedOn w:val="Normal"/>
    <w:next w:val="Normal"/>
    <w:autoRedefine/>
    <w:semiHidden/>
    <w:pPr>
      <w:tabs>
        <w:tab w:val="right" w:leader="dot" w:pos="9187"/>
      </w:tabs>
      <w:ind w:right="1440"/>
    </w:pPr>
  </w:style>
  <w:style w:type="paragraph" w:styleId="Index2">
    <w:name w:val="index 2"/>
    <w:basedOn w:val="Normal"/>
    <w:next w:val="Normal"/>
    <w:autoRedefine/>
    <w:semiHidden/>
    <w:pPr>
      <w:tabs>
        <w:tab w:val="right" w:leader="dot" w:pos="9187"/>
      </w:tabs>
      <w:ind w:left="245" w:right="1440"/>
    </w:pPr>
  </w:style>
  <w:style w:type="paragraph" w:styleId="Index3">
    <w:name w:val="index 3"/>
    <w:basedOn w:val="Normal"/>
    <w:next w:val="Normal"/>
    <w:autoRedefine/>
    <w:semiHidden/>
    <w:pPr>
      <w:tabs>
        <w:tab w:val="right" w:leader="dot" w:pos="9187"/>
      </w:tabs>
      <w:ind w:left="475" w:right="1440"/>
    </w:pPr>
  </w:style>
  <w:style w:type="paragraph" w:styleId="Index4">
    <w:name w:val="index 4"/>
    <w:basedOn w:val="Normal"/>
    <w:next w:val="Normal"/>
    <w:autoRedefine/>
    <w:semiHidden/>
    <w:pPr>
      <w:tabs>
        <w:tab w:val="right" w:leader="dot" w:pos="9187"/>
      </w:tabs>
      <w:ind w:left="720" w:right="1440"/>
    </w:pPr>
  </w:style>
  <w:style w:type="paragraph" w:styleId="Index5">
    <w:name w:val="index 5"/>
    <w:basedOn w:val="Normal"/>
    <w:next w:val="Normal"/>
    <w:autoRedefine/>
    <w:semiHidden/>
    <w:pPr>
      <w:tabs>
        <w:tab w:val="right" w:leader="dot" w:pos="9187"/>
      </w:tabs>
      <w:ind w:left="965" w:right="1440"/>
    </w:pPr>
  </w:style>
  <w:style w:type="paragraph" w:styleId="Index6">
    <w:name w:val="index 6"/>
    <w:basedOn w:val="Normal"/>
    <w:next w:val="Normal"/>
    <w:autoRedefine/>
    <w:semiHidden/>
    <w:pPr>
      <w:tabs>
        <w:tab w:val="right" w:leader="dot" w:pos="9187"/>
      </w:tabs>
      <w:ind w:left="1195" w:right="1440"/>
    </w:pPr>
  </w:style>
  <w:style w:type="paragraph" w:styleId="Index7">
    <w:name w:val="index 7"/>
    <w:basedOn w:val="Normal"/>
    <w:next w:val="Normal"/>
    <w:autoRedefine/>
    <w:semiHidden/>
    <w:pPr>
      <w:tabs>
        <w:tab w:val="right" w:leader="dot" w:pos="9187"/>
      </w:tabs>
      <w:ind w:left="1440" w:right="1440"/>
    </w:pPr>
  </w:style>
  <w:style w:type="paragraph" w:styleId="Index8">
    <w:name w:val="index 8"/>
    <w:basedOn w:val="Normal"/>
    <w:next w:val="Normal"/>
    <w:autoRedefine/>
    <w:semiHidden/>
    <w:pPr>
      <w:tabs>
        <w:tab w:val="right" w:leader="dot" w:pos="9187"/>
      </w:tabs>
      <w:ind w:left="1685" w:right="1440"/>
    </w:pPr>
  </w:style>
  <w:style w:type="paragraph" w:styleId="Index9">
    <w:name w:val="index 9"/>
    <w:basedOn w:val="Normal"/>
    <w:next w:val="Normal"/>
    <w:autoRedefine/>
    <w:semiHidden/>
    <w:pPr>
      <w:tabs>
        <w:tab w:val="right" w:leader="dot" w:pos="9187"/>
      </w:tabs>
      <w:ind w:left="1915" w:right="14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before="120"/>
      <w:ind w:left="360"/>
    </w:pPr>
  </w:style>
  <w:style w:type="paragraph" w:styleId="ListContinue2">
    <w:name w:val="List Continue 2"/>
    <w:basedOn w:val="Normal"/>
    <w:pPr>
      <w:spacing w:before="120"/>
      <w:ind w:left="720"/>
    </w:pPr>
  </w:style>
  <w:style w:type="paragraph" w:styleId="ListContinue3">
    <w:name w:val="List Continue 3"/>
    <w:basedOn w:val="Normal"/>
    <w:pPr>
      <w:spacing w:before="120"/>
      <w:ind w:left="1080"/>
    </w:pPr>
  </w:style>
  <w:style w:type="paragraph" w:styleId="ListContinue4">
    <w:name w:val="List Continue 4"/>
    <w:basedOn w:val="Normal"/>
    <w:pPr>
      <w:spacing w:before="120"/>
      <w:ind w:left="1440"/>
    </w:pPr>
  </w:style>
  <w:style w:type="paragraph" w:styleId="ListContinue5">
    <w:name w:val="List Continue 5"/>
    <w:basedOn w:val="Normal"/>
    <w:pPr>
      <w:spacing w:before="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before="60"/>
      <w:jc w:val="center"/>
      <w:outlineLvl w:val="1"/>
    </w:pPr>
    <w:rPr>
      <w:rFonts w:ascii="Arial" w:hAnsi="Arial"/>
    </w:r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CenterBoldUnd">
    <w:name w:val="Center Bold Und"/>
    <w:aliases w:val="cbu"/>
    <w:basedOn w:val="Center"/>
    <w:next w:val="Body"/>
    <w:rPr>
      <w:b/>
      <w:u w:val="single"/>
    </w:rPr>
  </w:style>
  <w:style w:type="paragraph" w:customStyle="1" w:styleId="CenterBold">
    <w:name w:val="Center Bold"/>
    <w:aliases w:val="cb"/>
    <w:basedOn w:val="Center"/>
    <w:next w:val="Body"/>
    <w:rPr>
      <w:b/>
    </w:rPr>
  </w:style>
  <w:style w:type="paragraph" w:customStyle="1" w:styleId="CenterDoubleBoldUnd">
    <w:name w:val="Center Double Bold Und"/>
    <w:aliases w:val="cdbu"/>
    <w:basedOn w:val="CenterDouble"/>
    <w:next w:val="BodyDouble"/>
    <w:rPr>
      <w:b/>
      <w:u w:val="single"/>
    </w:rPr>
  </w:style>
  <w:style w:type="paragraph" w:customStyle="1" w:styleId="CenterDoubleBold">
    <w:name w:val="Center Double Bold"/>
    <w:aliases w:val="cdb"/>
    <w:basedOn w:val="CenterDouble"/>
    <w:next w:val="BodyDouble"/>
    <w:rPr>
      <w:b/>
    </w:rPr>
  </w:style>
  <w:style w:type="paragraph" w:customStyle="1" w:styleId="CenterDoubleUnd">
    <w:name w:val="Center Double Und"/>
    <w:aliases w:val="cdu"/>
    <w:basedOn w:val="CenterDouble"/>
    <w:next w:val="BodyDouble"/>
    <w:rPr>
      <w:u w:val="single"/>
    </w:rPr>
  </w:style>
  <w:style w:type="paragraph" w:customStyle="1" w:styleId="CenterUnd">
    <w:name w:val="Center Und"/>
    <w:aliases w:val="cu"/>
    <w:basedOn w:val="Center"/>
    <w:next w:val="Body"/>
    <w:rPr>
      <w:u w:val="single"/>
    </w:rPr>
  </w:style>
  <w:style w:type="paragraph" w:customStyle="1" w:styleId="HeadingTitle">
    <w:name w:val="Heading Title"/>
    <w:aliases w:val="ht"/>
    <w:basedOn w:val="Normal"/>
    <w:next w:val="Normal"/>
    <w:pPr>
      <w:keepNext/>
      <w:keepLines/>
      <w:spacing w:after="240"/>
      <w:jc w:val="center"/>
    </w:pPr>
    <w:rPr>
      <w:b/>
      <w:u w:val="single"/>
    </w:rPr>
  </w:style>
  <w:style w:type="paragraph" w:customStyle="1" w:styleId="Plain">
    <w:name w:val="Plain"/>
    <w:rPr>
      <w:sz w:val="24"/>
    </w:rPr>
  </w:style>
  <w:style w:type="paragraph" w:customStyle="1" w:styleId="zExhibitName">
    <w:name w:val="zExhibitName"/>
    <w:aliases w:val="e"/>
    <w:basedOn w:val="Normal"/>
    <w:next w:val="Body"/>
    <w:pPr>
      <w:keepNext/>
      <w:keepLines/>
      <w:spacing w:after="240"/>
      <w:jc w:val="center"/>
    </w:pPr>
    <w:rPr>
      <w:b/>
      <w:u w:val="single"/>
    </w:rPr>
  </w:style>
  <w:style w:type="paragraph" w:customStyle="1" w:styleId="ExhibitList">
    <w:name w:val="Exhibit List"/>
    <w:aliases w:val="el"/>
    <w:basedOn w:val="Normal"/>
    <w:pPr>
      <w:ind w:left="2160" w:hanging="2160"/>
    </w:pPr>
  </w:style>
  <w:style w:type="paragraph" w:customStyle="1" w:styleId="ExhibitTitle">
    <w:name w:val="Exhibit Title"/>
    <w:aliases w:val="et"/>
    <w:basedOn w:val="Normal"/>
    <w:pPr>
      <w:spacing w:before="240" w:after="240"/>
      <w:jc w:val="center"/>
    </w:pPr>
    <w:rPr>
      <w:u w:val="single"/>
    </w:rPr>
  </w:style>
  <w:style w:type="paragraph" w:customStyle="1" w:styleId="zRRB">
    <w:name w:val="zRRB"/>
    <w:basedOn w:val="Normal"/>
    <w:pPr>
      <w:jc w:val="left"/>
    </w:pPr>
    <w:rPr>
      <w:sz w:val="20"/>
    </w:rPr>
  </w:style>
  <w:style w:type="paragraph" w:customStyle="1" w:styleId="zRRBBold">
    <w:name w:val="zRRBBold"/>
    <w:basedOn w:val="Normal"/>
    <w:pPr>
      <w:jc w:val="center"/>
    </w:pPr>
    <w:rPr>
      <w:rFonts w:ascii="Courier New" w:hAnsi="Courier New" w:cs="Courier New"/>
      <w:b/>
      <w:bCs/>
      <w:sz w:val="16"/>
    </w:rPr>
  </w:style>
  <w:style w:type="paragraph" w:customStyle="1" w:styleId="zProofList">
    <w:name w:val="zProofList"/>
    <w:basedOn w:val="Normal"/>
  </w:style>
  <w:style w:type="paragraph" w:styleId="BalloonText">
    <w:name w:val="Balloon Text"/>
    <w:basedOn w:val="Normal"/>
    <w:link w:val="BalloonTextChar"/>
    <w:uiPriority w:val="99"/>
    <w:semiHidden/>
    <w:rPr>
      <w:rFonts w:ascii="Tahoma" w:hAnsi="Tahoma" w:cs="Tahoma"/>
      <w:sz w:val="16"/>
      <w:szCs w:val="16"/>
    </w:rPr>
  </w:style>
  <w:style w:type="paragraph" w:customStyle="1" w:styleId="incr1">
    <w:name w:val="incr1"/>
    <w:basedOn w:val="Normal"/>
    <w:pPr>
      <w:spacing w:before="48"/>
      <w:ind w:left="1440"/>
      <w:jc w:val="left"/>
    </w:pPr>
    <w:rPr>
      <w:rFonts w:ascii="Arial" w:hAnsi="Arial" w:cs="Arial"/>
      <w:b/>
      <w:bCs/>
      <w:color w:val="000000"/>
      <w:sz w:val="18"/>
      <w:szCs w:val="18"/>
    </w:rPr>
  </w:style>
  <w:style w:type="paragraph" w:customStyle="1" w:styleId="content2">
    <w:name w:val="content2"/>
    <w:basedOn w:val="Normal"/>
    <w:pPr>
      <w:spacing w:before="48"/>
      <w:ind w:left="2160"/>
      <w:jc w:val="left"/>
    </w:pPr>
    <w:rPr>
      <w:rFonts w:ascii="Arial" w:hAnsi="Arial" w:cs="Arial"/>
      <w:color w:val="000000"/>
      <w:sz w:val="18"/>
      <w:szCs w:val="18"/>
    </w:rPr>
  </w:style>
  <w:style w:type="paragraph" w:customStyle="1" w:styleId="CharCharChar">
    <w:name w:val="Char Char Char"/>
    <w:basedOn w:val="Normal"/>
    <w:pPr>
      <w:spacing w:after="160" w:line="240" w:lineRule="exact"/>
    </w:pPr>
    <w:rPr>
      <w:rFonts w:ascii="Verdana" w:hAnsi="Verdana" w:cs="Verdana"/>
      <w:sz w:val="20"/>
      <w:szCs w:val="24"/>
    </w:rPr>
  </w:style>
  <w:style w:type="paragraph" w:customStyle="1" w:styleId="Heading21">
    <w:name w:val="Heading 21"/>
    <w:basedOn w:val="Normal"/>
    <w:pPr>
      <w:spacing w:line="368" w:lineRule="atLeast"/>
      <w:jc w:val="left"/>
      <w:outlineLvl w:val="2"/>
    </w:pPr>
    <w:rPr>
      <w:rFonts w:ascii="Georgia" w:hAnsi="Georgia"/>
      <w:color w:val="671800"/>
      <w:sz w:val="32"/>
      <w:szCs w:val="32"/>
    </w:rPr>
  </w:style>
  <w:style w:type="paragraph" w:customStyle="1" w:styleId="NormalWeb1">
    <w:name w:val="Normal (Web)1"/>
    <w:basedOn w:val="Normal"/>
    <w:pPr>
      <w:spacing w:after="100" w:afterAutospacing="1" w:line="301" w:lineRule="atLeast"/>
      <w:jc w:val="left"/>
    </w:pPr>
    <w:rPr>
      <w:rFonts w:ascii="Verdana" w:hAnsi="Verdana"/>
      <w:color w:val="5E4531"/>
      <w:sz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term1">
    <w:name w:val="term1"/>
    <w:rPr>
      <w:rFonts w:ascii="Verdana" w:hAnsi="Verdana" w:hint="default"/>
      <w:b/>
      <w:bCs/>
      <w:sz w:val="20"/>
      <w:szCs w:val="20"/>
    </w:rPr>
  </w:style>
  <w:style w:type="character" w:styleId="Hyperlink">
    <w:name w:val="Hyperlink"/>
    <w:rPr>
      <w:color w:val="8A3132"/>
      <w:u w:val="single"/>
    </w:rPr>
  </w:style>
  <w:style w:type="paragraph" w:customStyle="1" w:styleId="p0">
    <w:name w:val="p0"/>
    <w:basedOn w:val="Normal"/>
    <w:pPr>
      <w:spacing w:before="48" w:after="240"/>
      <w:ind w:left="720" w:firstLine="720"/>
      <w:jc w:val="left"/>
    </w:pPr>
    <w:rPr>
      <w:rFonts w:ascii="Arial" w:hAnsi="Arial" w:cs="Arial"/>
      <w:color w:val="000000"/>
      <w:sz w:val="15"/>
      <w:szCs w:val="15"/>
    </w:rPr>
  </w:style>
  <w:style w:type="paragraph" w:customStyle="1" w:styleId="sec">
    <w:name w:val="sec"/>
    <w:basedOn w:val="Normal"/>
    <w:pPr>
      <w:pBdr>
        <w:left w:val="single" w:sz="2" w:space="9" w:color="80161C"/>
      </w:pBdr>
      <w:spacing w:before="48" w:after="240"/>
      <w:ind w:left="480"/>
      <w:jc w:val="left"/>
    </w:pPr>
    <w:rPr>
      <w:rFonts w:ascii="Arial" w:hAnsi="Arial" w:cs="Arial"/>
      <w:b/>
      <w:bCs/>
      <w:color w:val="80161C"/>
      <w:sz w:val="18"/>
      <w:szCs w:val="18"/>
    </w:rPr>
  </w:style>
  <w:style w:type="paragraph" w:customStyle="1" w:styleId="Normal1">
    <w:name w:val="Normal1"/>
    <w:basedOn w:val="Normal"/>
    <w:pPr>
      <w:spacing w:before="100" w:beforeAutospacing="1" w:after="100" w:afterAutospacing="1"/>
      <w:ind w:left="250" w:right="250"/>
      <w:jc w:val="left"/>
    </w:pPr>
    <w:rPr>
      <w:rFonts w:ascii="Verdana" w:hAnsi="Verdana"/>
      <w:sz w:val="20"/>
    </w:rPr>
  </w:style>
  <w:style w:type="character" w:customStyle="1" w:styleId="normal--char">
    <w:name w:val="normal--char"/>
    <w:rPr>
      <w:rFonts w:ascii="Verdana" w:hAnsi="Verdana" w:hint="default"/>
      <w:sz w:val="20"/>
      <w:szCs w:val="20"/>
    </w:rPr>
  </w:style>
  <w:style w:type="character" w:customStyle="1" w:styleId="BalloonTextChar">
    <w:name w:val="Balloon Text Char"/>
    <w:basedOn w:val="DefaultParagraphFont"/>
    <w:link w:val="BalloonText"/>
    <w:uiPriority w:val="99"/>
    <w:semiHidden/>
    <w:rsid w:val="00CD73A6"/>
    <w:rPr>
      <w:rFonts w:ascii="Tahoma" w:hAnsi="Tahoma" w:cs="Tahoma"/>
      <w:sz w:val="16"/>
      <w:szCs w:val="16"/>
    </w:rPr>
  </w:style>
  <w:style w:type="character" w:styleId="CommentReference">
    <w:name w:val="annotation reference"/>
    <w:basedOn w:val="DefaultParagraphFont"/>
    <w:uiPriority w:val="99"/>
    <w:semiHidden/>
    <w:unhideWhenUsed/>
    <w:rsid w:val="00CD73A6"/>
    <w:rPr>
      <w:sz w:val="16"/>
      <w:szCs w:val="16"/>
    </w:rPr>
  </w:style>
  <w:style w:type="character" w:customStyle="1" w:styleId="CommentTextChar">
    <w:name w:val="Comment Text Char"/>
    <w:basedOn w:val="DefaultParagraphFont"/>
    <w:uiPriority w:val="99"/>
    <w:rsid w:val="00CD73A6"/>
    <w:rPr>
      <w:sz w:val="20"/>
      <w:szCs w:val="20"/>
    </w:rPr>
  </w:style>
  <w:style w:type="paragraph" w:styleId="CommentSubject">
    <w:name w:val="annotation subject"/>
    <w:basedOn w:val="CommentText"/>
    <w:next w:val="CommentText"/>
    <w:link w:val="CommentSubjectChar"/>
    <w:uiPriority w:val="99"/>
    <w:semiHidden/>
    <w:unhideWhenUsed/>
    <w:rsid w:val="00CD73A6"/>
    <w:pPr>
      <w:widowControl w:val="0"/>
      <w:spacing w:after="200"/>
      <w:jc w:val="left"/>
    </w:pPr>
    <w:rPr>
      <w:rFonts w:asciiTheme="minorHAnsi" w:eastAsiaTheme="minorHAnsi" w:hAnsiTheme="minorHAnsi" w:cstheme="minorBidi"/>
      <w:b/>
      <w:bCs/>
    </w:rPr>
  </w:style>
  <w:style w:type="character" w:customStyle="1" w:styleId="CommentTextChar1">
    <w:name w:val="Comment Text Char1"/>
    <w:basedOn w:val="DefaultParagraphFont"/>
    <w:link w:val="CommentText"/>
    <w:uiPriority w:val="99"/>
    <w:rsid w:val="00CD73A6"/>
  </w:style>
  <w:style w:type="character" w:customStyle="1" w:styleId="CommentSubjectChar">
    <w:name w:val="Comment Subject Char"/>
    <w:basedOn w:val="CommentTextChar1"/>
    <w:link w:val="CommentSubject"/>
    <w:uiPriority w:val="99"/>
    <w:semiHidden/>
    <w:rsid w:val="00CD73A6"/>
    <w:rPr>
      <w:rFonts w:asciiTheme="minorHAnsi" w:eastAsiaTheme="minorHAnsi" w:hAnsiTheme="minorHAnsi" w:cstheme="minorBidi"/>
      <w:b/>
      <w:bCs/>
    </w:rPr>
  </w:style>
  <w:style w:type="character" w:customStyle="1" w:styleId="HeaderChar">
    <w:name w:val="Header Char"/>
    <w:basedOn w:val="DefaultParagraphFont"/>
    <w:link w:val="Header"/>
    <w:uiPriority w:val="99"/>
    <w:rsid w:val="00CD73A6"/>
    <w:rPr>
      <w:sz w:val="24"/>
    </w:rPr>
  </w:style>
  <w:style w:type="character" w:customStyle="1" w:styleId="FooterChar">
    <w:name w:val="Footer Char"/>
    <w:basedOn w:val="DefaultParagraphFont"/>
    <w:link w:val="Footer"/>
    <w:uiPriority w:val="99"/>
    <w:rsid w:val="00CD73A6"/>
    <w:rPr>
      <w:sz w:val="24"/>
    </w:rPr>
  </w:style>
  <w:style w:type="paragraph" w:styleId="ListParagraph">
    <w:name w:val="List Paragraph"/>
    <w:basedOn w:val="Normal"/>
    <w:uiPriority w:val="34"/>
    <w:qFormat/>
    <w:rsid w:val="00CD73A6"/>
    <w:pPr>
      <w:widowControl w:val="0"/>
      <w:spacing w:after="200" w:line="276" w:lineRule="auto"/>
      <w:ind w:left="720"/>
      <w:contextualSpacing/>
      <w:jc w:val="left"/>
    </w:pPr>
    <w:rPr>
      <w:rFonts w:asciiTheme="minorHAnsi" w:eastAsiaTheme="minorHAnsi" w:hAnsiTheme="minorHAnsi" w:cstheme="minorBidi"/>
      <w:sz w:val="22"/>
      <w:szCs w:val="22"/>
    </w:rPr>
  </w:style>
  <w:style w:type="paragraph" w:styleId="Revision">
    <w:name w:val="Revision"/>
    <w:hidden/>
    <w:uiPriority w:val="99"/>
    <w:semiHidden/>
    <w:rsid w:val="00CD73A6"/>
    <w:rPr>
      <w:rFonts w:asciiTheme="minorHAnsi" w:eastAsiaTheme="minorHAnsi" w:hAnsiTheme="minorHAnsi" w:cstheme="minorBidi"/>
      <w:sz w:val="22"/>
      <w:szCs w:val="22"/>
    </w:rPr>
  </w:style>
  <w:style w:type="paragraph" w:styleId="BodyTextIndent2">
    <w:name w:val="Body Text Indent 2"/>
    <w:basedOn w:val="Normal"/>
    <w:link w:val="BodyTextIndent2Char"/>
    <w:uiPriority w:val="99"/>
    <w:unhideWhenUsed/>
    <w:rsid w:val="00CD73A6"/>
    <w:pPr>
      <w:overflowPunct w:val="0"/>
      <w:autoSpaceDE w:val="0"/>
      <w:autoSpaceDN w:val="0"/>
      <w:adjustRightInd w:val="0"/>
      <w:spacing w:after="120" w:line="480" w:lineRule="auto"/>
      <w:ind w:left="360"/>
      <w:jc w:val="left"/>
      <w:textAlignment w:val="baseline"/>
    </w:pPr>
    <w:rPr>
      <w:sz w:val="20"/>
    </w:rPr>
  </w:style>
  <w:style w:type="character" w:customStyle="1" w:styleId="BodyTextIndent2Char">
    <w:name w:val="Body Text Indent 2 Char"/>
    <w:basedOn w:val="DefaultParagraphFont"/>
    <w:link w:val="BodyTextIndent2"/>
    <w:uiPriority w:val="99"/>
    <w:rsid w:val="00CD73A6"/>
  </w:style>
  <w:style w:type="character" w:customStyle="1" w:styleId="apple-converted-space">
    <w:name w:val="apple-converted-space"/>
    <w:basedOn w:val="DefaultParagraphFont"/>
    <w:rsid w:val="00577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39">
      <w:bodyDiv w:val="1"/>
      <w:marLeft w:val="0"/>
      <w:marRight w:val="0"/>
      <w:marTop w:val="0"/>
      <w:marBottom w:val="0"/>
      <w:divBdr>
        <w:top w:val="none" w:sz="0" w:space="0" w:color="auto"/>
        <w:left w:val="none" w:sz="0" w:space="0" w:color="auto"/>
        <w:bottom w:val="none" w:sz="0" w:space="0" w:color="auto"/>
        <w:right w:val="none" w:sz="0" w:space="0" w:color="auto"/>
      </w:divBdr>
      <w:divsChild>
        <w:div w:id="6765942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60645219">
      <w:bodyDiv w:val="1"/>
      <w:marLeft w:val="0"/>
      <w:marRight w:val="0"/>
      <w:marTop w:val="0"/>
      <w:marBottom w:val="0"/>
      <w:divBdr>
        <w:top w:val="none" w:sz="0" w:space="0" w:color="auto"/>
        <w:left w:val="none" w:sz="0" w:space="0" w:color="auto"/>
        <w:bottom w:val="none" w:sz="0" w:space="0" w:color="auto"/>
        <w:right w:val="none" w:sz="0" w:space="0" w:color="auto"/>
      </w:divBdr>
      <w:divsChild>
        <w:div w:id="560605807">
          <w:marLeft w:val="63"/>
          <w:marRight w:val="63"/>
          <w:marTop w:val="0"/>
          <w:marBottom w:val="0"/>
          <w:divBdr>
            <w:top w:val="single" w:sz="4" w:space="1" w:color="CCCCCC"/>
            <w:left w:val="single" w:sz="4" w:space="1" w:color="CCCCCC"/>
            <w:bottom w:val="single" w:sz="4" w:space="1" w:color="CCCCCC"/>
            <w:right w:val="single" w:sz="4" w:space="1" w:color="CCCCCC"/>
          </w:divBdr>
        </w:div>
      </w:divsChild>
    </w:div>
    <w:div w:id="728574948">
      <w:bodyDiv w:val="1"/>
      <w:marLeft w:val="0"/>
      <w:marRight w:val="0"/>
      <w:marTop w:val="0"/>
      <w:marBottom w:val="0"/>
      <w:divBdr>
        <w:top w:val="none" w:sz="0" w:space="0" w:color="auto"/>
        <w:left w:val="none" w:sz="0" w:space="0" w:color="auto"/>
        <w:bottom w:val="none" w:sz="0" w:space="0" w:color="auto"/>
        <w:right w:val="none" w:sz="0" w:space="0" w:color="auto"/>
      </w:divBdr>
      <w:divsChild>
        <w:div w:id="1229078220">
          <w:marLeft w:val="63"/>
          <w:marRight w:val="63"/>
          <w:marTop w:val="0"/>
          <w:marBottom w:val="0"/>
          <w:divBdr>
            <w:top w:val="single" w:sz="4" w:space="1" w:color="CCCCCC"/>
            <w:left w:val="single" w:sz="4" w:space="1" w:color="CCCCCC"/>
            <w:bottom w:val="single" w:sz="4" w:space="1" w:color="CCCCCC"/>
            <w:right w:val="single" w:sz="4" w:space="1" w:color="CCCCCC"/>
          </w:divBdr>
        </w:div>
      </w:divsChild>
    </w:div>
    <w:div w:id="796989714">
      <w:bodyDiv w:val="1"/>
      <w:marLeft w:val="0"/>
      <w:marRight w:val="0"/>
      <w:marTop w:val="0"/>
      <w:marBottom w:val="0"/>
      <w:divBdr>
        <w:top w:val="none" w:sz="0" w:space="0" w:color="auto"/>
        <w:left w:val="none" w:sz="0" w:space="0" w:color="auto"/>
        <w:bottom w:val="none" w:sz="0" w:space="0" w:color="auto"/>
        <w:right w:val="none" w:sz="0" w:space="0" w:color="auto"/>
      </w:divBdr>
      <w:divsChild>
        <w:div w:id="1897009645">
          <w:marLeft w:val="63"/>
          <w:marRight w:val="63"/>
          <w:marTop w:val="0"/>
          <w:marBottom w:val="0"/>
          <w:divBdr>
            <w:top w:val="single" w:sz="4" w:space="1" w:color="CCCCCC"/>
            <w:left w:val="single" w:sz="4" w:space="1" w:color="CCCCCC"/>
            <w:bottom w:val="single" w:sz="4" w:space="1" w:color="CCCCCC"/>
            <w:right w:val="single" w:sz="4" w:space="1" w:color="CCCCCC"/>
          </w:divBdr>
        </w:div>
      </w:divsChild>
    </w:div>
    <w:div w:id="817189213">
      <w:bodyDiv w:val="1"/>
      <w:marLeft w:val="0"/>
      <w:marRight w:val="0"/>
      <w:marTop w:val="0"/>
      <w:marBottom w:val="0"/>
      <w:divBdr>
        <w:top w:val="none" w:sz="0" w:space="0" w:color="auto"/>
        <w:left w:val="none" w:sz="0" w:space="0" w:color="auto"/>
        <w:bottom w:val="none" w:sz="0" w:space="0" w:color="auto"/>
        <w:right w:val="none" w:sz="0" w:space="0" w:color="auto"/>
      </w:divBdr>
      <w:divsChild>
        <w:div w:id="3003736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820971770">
      <w:bodyDiv w:val="1"/>
      <w:marLeft w:val="0"/>
      <w:marRight w:val="0"/>
      <w:marTop w:val="0"/>
      <w:marBottom w:val="0"/>
      <w:divBdr>
        <w:top w:val="none" w:sz="0" w:space="0" w:color="auto"/>
        <w:left w:val="none" w:sz="0" w:space="0" w:color="auto"/>
        <w:bottom w:val="none" w:sz="0" w:space="0" w:color="auto"/>
        <w:right w:val="none" w:sz="0" w:space="0" w:color="auto"/>
      </w:divBdr>
      <w:divsChild>
        <w:div w:id="1892693911">
          <w:marLeft w:val="63"/>
          <w:marRight w:val="63"/>
          <w:marTop w:val="0"/>
          <w:marBottom w:val="0"/>
          <w:divBdr>
            <w:top w:val="single" w:sz="4" w:space="1" w:color="CCCCCC"/>
            <w:left w:val="single" w:sz="4" w:space="1" w:color="CCCCCC"/>
            <w:bottom w:val="single" w:sz="4" w:space="1" w:color="CCCCCC"/>
            <w:right w:val="single" w:sz="4" w:space="1" w:color="CCCCCC"/>
          </w:divBdr>
        </w:div>
      </w:divsChild>
    </w:div>
    <w:div w:id="888417748">
      <w:bodyDiv w:val="1"/>
      <w:marLeft w:val="0"/>
      <w:marRight w:val="0"/>
      <w:marTop w:val="0"/>
      <w:marBottom w:val="0"/>
      <w:divBdr>
        <w:top w:val="none" w:sz="0" w:space="0" w:color="auto"/>
        <w:left w:val="none" w:sz="0" w:space="0" w:color="auto"/>
        <w:bottom w:val="none" w:sz="0" w:space="0" w:color="auto"/>
        <w:right w:val="none" w:sz="0" w:space="0" w:color="auto"/>
      </w:divBdr>
      <w:divsChild>
        <w:div w:id="1893806799">
          <w:marLeft w:val="63"/>
          <w:marRight w:val="63"/>
          <w:marTop w:val="0"/>
          <w:marBottom w:val="0"/>
          <w:divBdr>
            <w:top w:val="single" w:sz="4" w:space="1" w:color="CCCCCC"/>
            <w:left w:val="single" w:sz="4" w:space="1" w:color="CCCCCC"/>
            <w:bottom w:val="single" w:sz="4" w:space="1" w:color="CCCCCC"/>
            <w:right w:val="single" w:sz="4" w:space="1" w:color="CCCCCC"/>
          </w:divBdr>
        </w:div>
      </w:divsChild>
    </w:div>
    <w:div w:id="974602627">
      <w:bodyDiv w:val="1"/>
      <w:marLeft w:val="0"/>
      <w:marRight w:val="0"/>
      <w:marTop w:val="0"/>
      <w:marBottom w:val="0"/>
      <w:divBdr>
        <w:top w:val="none" w:sz="0" w:space="0" w:color="auto"/>
        <w:left w:val="none" w:sz="0" w:space="0" w:color="auto"/>
        <w:bottom w:val="none" w:sz="0" w:space="0" w:color="auto"/>
        <w:right w:val="none" w:sz="0" w:space="0" w:color="auto"/>
      </w:divBdr>
      <w:divsChild>
        <w:div w:id="1806852491">
          <w:marLeft w:val="63"/>
          <w:marRight w:val="63"/>
          <w:marTop w:val="0"/>
          <w:marBottom w:val="0"/>
          <w:divBdr>
            <w:top w:val="single" w:sz="4" w:space="1" w:color="CCCCCC"/>
            <w:left w:val="single" w:sz="4" w:space="1" w:color="CCCCCC"/>
            <w:bottom w:val="single" w:sz="4" w:space="1" w:color="CCCCCC"/>
            <w:right w:val="single" w:sz="4" w:space="1" w:color="CCCCCC"/>
          </w:divBdr>
        </w:div>
      </w:divsChild>
    </w:div>
    <w:div w:id="1015378208">
      <w:bodyDiv w:val="1"/>
      <w:marLeft w:val="0"/>
      <w:marRight w:val="0"/>
      <w:marTop w:val="0"/>
      <w:marBottom w:val="0"/>
      <w:divBdr>
        <w:top w:val="none" w:sz="0" w:space="0" w:color="auto"/>
        <w:left w:val="none" w:sz="0" w:space="0" w:color="auto"/>
        <w:bottom w:val="none" w:sz="0" w:space="0" w:color="auto"/>
        <w:right w:val="none" w:sz="0" w:space="0" w:color="auto"/>
      </w:divBdr>
      <w:divsChild>
        <w:div w:id="1539397339">
          <w:marLeft w:val="63"/>
          <w:marRight w:val="63"/>
          <w:marTop w:val="0"/>
          <w:marBottom w:val="0"/>
          <w:divBdr>
            <w:top w:val="single" w:sz="4" w:space="1" w:color="CCCCCC"/>
            <w:left w:val="single" w:sz="4" w:space="1" w:color="CCCCCC"/>
            <w:bottom w:val="single" w:sz="4" w:space="1" w:color="CCCCCC"/>
            <w:right w:val="single" w:sz="4" w:space="1" w:color="CCCCCC"/>
          </w:divBdr>
        </w:div>
      </w:divsChild>
    </w:div>
    <w:div w:id="1174951652">
      <w:bodyDiv w:val="1"/>
      <w:marLeft w:val="0"/>
      <w:marRight w:val="0"/>
      <w:marTop w:val="0"/>
      <w:marBottom w:val="0"/>
      <w:divBdr>
        <w:top w:val="none" w:sz="0" w:space="0" w:color="auto"/>
        <w:left w:val="none" w:sz="0" w:space="0" w:color="auto"/>
        <w:bottom w:val="none" w:sz="0" w:space="0" w:color="auto"/>
        <w:right w:val="none" w:sz="0" w:space="0" w:color="auto"/>
      </w:divBdr>
      <w:divsChild>
        <w:div w:id="1388069447">
          <w:marLeft w:val="63"/>
          <w:marRight w:val="63"/>
          <w:marTop w:val="0"/>
          <w:marBottom w:val="0"/>
          <w:divBdr>
            <w:top w:val="single" w:sz="4" w:space="1" w:color="CCCCCC"/>
            <w:left w:val="single" w:sz="4" w:space="1" w:color="CCCCCC"/>
            <w:bottom w:val="single" w:sz="4" w:space="1" w:color="CCCCCC"/>
            <w:right w:val="single" w:sz="4" w:space="1" w:color="CCCCCC"/>
          </w:divBdr>
        </w:div>
      </w:divsChild>
    </w:div>
    <w:div w:id="1854764119">
      <w:bodyDiv w:val="1"/>
      <w:marLeft w:val="0"/>
      <w:marRight w:val="0"/>
      <w:marTop w:val="0"/>
      <w:marBottom w:val="0"/>
      <w:divBdr>
        <w:top w:val="none" w:sz="0" w:space="0" w:color="auto"/>
        <w:left w:val="none" w:sz="0" w:space="0" w:color="auto"/>
        <w:bottom w:val="none" w:sz="0" w:space="0" w:color="auto"/>
        <w:right w:val="none" w:sz="0" w:space="0" w:color="auto"/>
      </w:divBdr>
      <w:divsChild>
        <w:div w:id="624432836">
          <w:marLeft w:val="0"/>
          <w:marRight w:val="0"/>
          <w:marTop w:val="0"/>
          <w:marBottom w:val="0"/>
          <w:divBdr>
            <w:top w:val="none" w:sz="0" w:space="0" w:color="auto"/>
            <w:left w:val="none" w:sz="0" w:space="0" w:color="auto"/>
            <w:bottom w:val="none" w:sz="0" w:space="0" w:color="auto"/>
            <w:right w:val="none" w:sz="0" w:space="0" w:color="auto"/>
          </w:divBdr>
          <w:divsChild>
            <w:div w:id="1867979151">
              <w:marLeft w:val="250"/>
              <w:marRight w:val="250"/>
              <w:marTop w:val="0"/>
              <w:marBottom w:val="0"/>
              <w:divBdr>
                <w:top w:val="none" w:sz="0" w:space="0" w:color="auto"/>
                <w:left w:val="none" w:sz="0" w:space="0" w:color="auto"/>
                <w:bottom w:val="none" w:sz="0" w:space="0" w:color="auto"/>
                <w:right w:val="none" w:sz="0" w:space="0" w:color="auto"/>
              </w:divBdr>
            </w:div>
          </w:divsChild>
        </w:div>
      </w:divsChild>
    </w:div>
    <w:div w:id="1900820886">
      <w:bodyDiv w:val="1"/>
      <w:marLeft w:val="0"/>
      <w:marRight w:val="0"/>
      <w:marTop w:val="0"/>
      <w:marBottom w:val="0"/>
      <w:divBdr>
        <w:top w:val="none" w:sz="0" w:space="0" w:color="auto"/>
        <w:left w:val="none" w:sz="0" w:space="0" w:color="auto"/>
        <w:bottom w:val="none" w:sz="0" w:space="0" w:color="auto"/>
        <w:right w:val="none" w:sz="0" w:space="0" w:color="auto"/>
      </w:divBdr>
      <w:divsChild>
        <w:div w:id="1101485292">
          <w:marLeft w:val="63"/>
          <w:marRight w:val="63"/>
          <w:marTop w:val="0"/>
          <w:marBottom w:val="0"/>
          <w:divBdr>
            <w:top w:val="single" w:sz="4" w:space="1" w:color="CCCCCC"/>
            <w:left w:val="single" w:sz="4" w:space="1" w:color="CCCCCC"/>
            <w:bottom w:val="single" w:sz="4" w:space="1" w:color="CCCCCC"/>
            <w:right w:val="single" w:sz="4" w:space="1" w:color="CCCCCC"/>
          </w:divBdr>
        </w:div>
      </w:divsChild>
    </w:div>
    <w:div w:id="2084138804">
      <w:bodyDiv w:val="1"/>
      <w:marLeft w:val="0"/>
      <w:marRight w:val="0"/>
      <w:marTop w:val="0"/>
      <w:marBottom w:val="0"/>
      <w:divBdr>
        <w:top w:val="none" w:sz="0" w:space="0" w:color="auto"/>
        <w:left w:val="none" w:sz="0" w:space="0" w:color="auto"/>
        <w:bottom w:val="none" w:sz="0" w:space="0" w:color="auto"/>
        <w:right w:val="none" w:sz="0" w:space="0" w:color="auto"/>
      </w:divBdr>
      <w:divsChild>
        <w:div w:id="239600079">
          <w:marLeft w:val="63"/>
          <w:marRight w:val="63"/>
          <w:marTop w:val="0"/>
          <w:marBottom w:val="0"/>
          <w:divBdr>
            <w:top w:val="single" w:sz="4" w:space="1" w:color="CCCCCC"/>
            <w:left w:val="single" w:sz="4" w:space="1" w:color="CCCCCC"/>
            <w:bottom w:val="single" w:sz="4" w:space="1" w:color="CCCCCC"/>
            <w:right w:val="single" w:sz="4" w:space="1" w:color="CCCCCC"/>
          </w:divBdr>
        </w:div>
      </w:divsChild>
    </w:div>
    <w:div w:id="2129542268">
      <w:bodyDiv w:val="1"/>
      <w:marLeft w:val="0"/>
      <w:marRight w:val="0"/>
      <w:marTop w:val="0"/>
      <w:marBottom w:val="0"/>
      <w:divBdr>
        <w:top w:val="none" w:sz="0" w:space="0" w:color="auto"/>
        <w:left w:val="none" w:sz="0" w:space="0" w:color="auto"/>
        <w:bottom w:val="none" w:sz="0" w:space="0" w:color="auto"/>
        <w:right w:val="none" w:sz="0" w:space="0" w:color="auto"/>
      </w:divBdr>
      <w:divsChild>
        <w:div w:id="1460566031">
          <w:marLeft w:val="63"/>
          <w:marRight w:val="63"/>
          <w:marTop w:val="0"/>
          <w:marBottom w:val="0"/>
          <w:divBdr>
            <w:top w:val="single" w:sz="4" w:space="1" w:color="CCCCCC"/>
            <w:left w:val="single" w:sz="4" w:space="1" w:color="CCCCCC"/>
            <w:bottom w:val="single" w:sz="4" w:space="1" w:color="CCCCCC"/>
            <w:right w:val="single" w:sz="4" w:space="1" w:color="CC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PUBLIC%20WORKS%20AND%20PLANNING\CD%20Administration%20and%20Policies\Templates\Ordinance%20template%2010-21-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CB13C-A1B9-4BA4-97FE-4997E0FC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Ordinance template 10-21-13</Template>
  <TotalTime>0</TotalTime>
  <Pages>25</Pages>
  <Words>8372</Words>
  <Characters>47722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2011-05-24T15:20:00Z</cp:lastPrinted>
  <dcterms:created xsi:type="dcterms:W3CDTF">2015-05-07T20:51:00Z</dcterms:created>
  <dcterms:modified xsi:type="dcterms:W3CDTF">2015-05-21T15:48:00Z</dcterms:modified>
</cp:coreProperties>
</file>